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8A82"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ODWOŁANIE DO KRAJOWEJ IZBY ODWOŁAWCZEJ</w:t>
      </w:r>
    </w:p>
    <w:p w14:paraId="55F39017"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pict w14:anchorId="2454FC24">
          <v:rect id="_x0000_i1061" style="width:0;height:1.5pt" o:hralign="center" o:hrstd="t" o:hr="t" fillcolor="#a0a0a0" stroked="f"/>
        </w:pict>
      </w:r>
    </w:p>
    <w:p w14:paraId="7BEBADB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b/>
          <w:bCs/>
          <w:lang w:val="pl-PL"/>
        </w:rPr>
        <w:t>Krajowa Izba Odwoławcza</w:t>
      </w:r>
      <w:r w:rsidRPr="00AB5E44">
        <w:rPr>
          <w:rFonts w:ascii="Times New Roman" w:hAnsi="Times New Roman" w:cs="Times New Roman"/>
          <w:lang w:val="pl-PL"/>
        </w:rPr>
        <w:br/>
        <w:t>ul. Postępu 17a</w:t>
      </w:r>
      <w:r w:rsidRPr="00AB5E44">
        <w:rPr>
          <w:rFonts w:ascii="Times New Roman" w:hAnsi="Times New Roman" w:cs="Times New Roman"/>
          <w:lang w:val="pl-PL"/>
        </w:rPr>
        <w:br/>
        <w:t>02-676 Warszawa</w:t>
      </w:r>
    </w:p>
    <w:p w14:paraId="1B749D94"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pict w14:anchorId="6B59A3E1">
          <v:rect id="_x0000_i1062" style="width:0;height:1.5pt" o:hralign="center" o:hrstd="t" o:hr="t" fillcolor="#a0a0a0" stroked="f"/>
        </w:pict>
      </w:r>
    </w:p>
    <w:p w14:paraId="63CDE48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b/>
          <w:bCs/>
          <w:lang w:val="pl-PL"/>
        </w:rPr>
        <w:t>Odwołujący</w:t>
      </w:r>
      <w:r w:rsidRPr="00AB5E44">
        <w:rPr>
          <w:rFonts w:ascii="Times New Roman" w:hAnsi="Times New Roman" w:cs="Times New Roman"/>
          <w:lang w:val="pl-PL"/>
        </w:rPr>
        <w:t>:</w:t>
      </w:r>
      <w:r w:rsidRPr="00AB5E44">
        <w:rPr>
          <w:rFonts w:ascii="Times New Roman" w:hAnsi="Times New Roman" w:cs="Times New Roman"/>
          <w:lang w:val="pl-PL"/>
        </w:rPr>
        <w:br/>
        <w:t>[NAZWA WYKONAWCY]</w:t>
      </w:r>
      <w:r w:rsidRPr="00AB5E44">
        <w:rPr>
          <w:rFonts w:ascii="Times New Roman" w:hAnsi="Times New Roman" w:cs="Times New Roman"/>
          <w:lang w:val="pl-PL"/>
        </w:rPr>
        <w:br/>
        <w:t>[ADRES]</w:t>
      </w:r>
      <w:r w:rsidRPr="00AB5E44">
        <w:rPr>
          <w:rFonts w:ascii="Times New Roman" w:hAnsi="Times New Roman" w:cs="Times New Roman"/>
          <w:lang w:val="pl-PL"/>
        </w:rPr>
        <w:br/>
        <w:t>[NIP/REGON]</w:t>
      </w:r>
      <w:r w:rsidRPr="00AB5E44">
        <w:rPr>
          <w:rFonts w:ascii="Times New Roman" w:hAnsi="Times New Roman" w:cs="Times New Roman"/>
          <w:lang w:val="pl-PL"/>
        </w:rPr>
        <w:br/>
        <w:t>[DANE KONTAKTOWE]</w:t>
      </w:r>
      <w:r w:rsidRPr="00AB5E44">
        <w:rPr>
          <w:rFonts w:ascii="Times New Roman" w:hAnsi="Times New Roman" w:cs="Times New Roman"/>
          <w:lang w:val="pl-PL"/>
        </w:rPr>
        <w:br/>
        <w:t>reprezentowany przez:</w:t>
      </w:r>
      <w:r w:rsidRPr="00AB5E44">
        <w:rPr>
          <w:rFonts w:ascii="Times New Roman" w:hAnsi="Times New Roman" w:cs="Times New Roman"/>
          <w:lang w:val="pl-PL"/>
        </w:rPr>
        <w:br/>
        <w:t>[DANE PEŁNOMOCNIKA/PRZEDSTAWICIELA]</w:t>
      </w:r>
    </w:p>
    <w:p w14:paraId="6CC5A806" w14:textId="77777777" w:rsidR="00AB5E44" w:rsidRPr="00AB5E44" w:rsidRDefault="00AB5E44" w:rsidP="00AB5E44">
      <w:pPr>
        <w:spacing w:line="276" w:lineRule="auto"/>
        <w:rPr>
          <w:rFonts w:ascii="Times New Roman" w:hAnsi="Times New Roman" w:cs="Times New Roman"/>
          <w:lang w:val="pl-PL"/>
        </w:rPr>
      </w:pPr>
      <w:r w:rsidRPr="00AB5E44">
        <w:rPr>
          <w:rFonts w:ascii="Times New Roman" w:hAnsi="Times New Roman" w:cs="Times New Roman"/>
          <w:b/>
          <w:bCs/>
          <w:lang w:val="pl-PL"/>
        </w:rPr>
        <w:t>Zamawiający</w:t>
      </w:r>
      <w:r w:rsidRPr="00AB5E44">
        <w:rPr>
          <w:rFonts w:ascii="Times New Roman" w:hAnsi="Times New Roman" w:cs="Times New Roman"/>
          <w:lang w:val="pl-PL"/>
        </w:rPr>
        <w:t>:</w:t>
      </w:r>
      <w:r w:rsidRPr="00AB5E44">
        <w:rPr>
          <w:rFonts w:ascii="Times New Roman" w:hAnsi="Times New Roman" w:cs="Times New Roman"/>
          <w:lang w:val="pl-PL"/>
        </w:rPr>
        <w:br/>
        <w:t>Centralny Port Komunikacyjny sp. z o.o.</w:t>
      </w:r>
      <w:r w:rsidRPr="00AB5E44">
        <w:rPr>
          <w:rFonts w:ascii="Times New Roman" w:hAnsi="Times New Roman" w:cs="Times New Roman"/>
          <w:lang w:val="pl-PL"/>
        </w:rPr>
        <w:br/>
        <w:t>[ADRES]</w:t>
      </w:r>
      <w:r w:rsidRPr="00AB5E44">
        <w:rPr>
          <w:rFonts w:ascii="Times New Roman" w:hAnsi="Times New Roman" w:cs="Times New Roman"/>
          <w:lang w:val="pl-PL"/>
        </w:rPr>
        <w:br/>
        <w:t>[NIP/REGON]</w:t>
      </w:r>
      <w:r w:rsidRPr="00AB5E44">
        <w:rPr>
          <w:rFonts w:ascii="Times New Roman" w:hAnsi="Times New Roman" w:cs="Times New Roman"/>
          <w:lang w:val="pl-PL"/>
        </w:rPr>
        <w:br/>
        <w:t>[DANE KONTAKTOWE]</w:t>
      </w:r>
    </w:p>
    <w:p w14:paraId="75CBCDD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pict w14:anchorId="68F0CE6B">
          <v:rect id="_x0000_i1063" style="width:0;height:1.5pt" o:hralign="center" o:hrstd="t" o:hr="t" fillcolor="#a0a0a0" stroked="f"/>
        </w:pict>
      </w:r>
    </w:p>
    <w:p w14:paraId="26A56F7A"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b/>
          <w:bCs/>
          <w:lang w:val="pl-PL"/>
        </w:rPr>
        <w:t>Dotyczy</w:t>
      </w:r>
      <w:r w:rsidRPr="00AB5E44">
        <w:rPr>
          <w:rFonts w:ascii="Times New Roman" w:hAnsi="Times New Roman" w:cs="Times New Roman"/>
          <w:lang w:val="pl-PL"/>
        </w:rPr>
        <w:t>: Postępowania o udzielenie zamówienia publicznego prowadzonego w trybie przetargu nieograniczonego na "Świadczenie usług inżyniera kontraktu dla zadania inwestycyjnego dotyczącego budowy korytarzy transportowych w Centralnym Porcie Komunikacyjnym", nr referencyjny: [NUMER REFERENCYJNY]</w:t>
      </w:r>
    </w:p>
    <w:p w14:paraId="33B26D38"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pict w14:anchorId="792BDD6C">
          <v:rect id="_x0000_i1064" style="width:0;height:1.5pt" o:hralign="center" o:hrstd="t" o:hr="t" fillcolor="#a0a0a0" stroked="f"/>
        </w:pict>
      </w:r>
    </w:p>
    <w:p w14:paraId="5F14C546"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ODWOŁANIE</w:t>
      </w:r>
    </w:p>
    <w:p w14:paraId="3AE0F6A8"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Działając na podstawie art. 513 pkt 1 oraz art. 515 ust. 1 ustawy z dnia 11 września 2019 r. Prawo zamówień publicznych (Dz. U. z 2021 r. poz. 1129 ze zm.) (dalej: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wnoszę odwołanie od czynności Zamawiającego polegającej na ustaleniu treści Specyfikacji Warunków Zamówienia (SWZ), w tym w szczególności projektu umowy, w sposób naruszający przepisy ustawy oraz zasady udzielania zamówień publicznych.</w:t>
      </w:r>
    </w:p>
    <w:p w14:paraId="636357E8"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ZARZUTY</w:t>
      </w:r>
    </w:p>
    <w:p w14:paraId="7530470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Zamawiającemu zarzucam naruszenie:</w:t>
      </w:r>
    </w:p>
    <w:p w14:paraId="5822D3E1" w14:textId="77777777" w:rsidR="00AB5E44" w:rsidRPr="00AB5E44" w:rsidRDefault="00AB5E44" w:rsidP="00AB5E44">
      <w:pPr>
        <w:numPr>
          <w:ilvl w:val="0"/>
          <w:numId w:val="1"/>
        </w:num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 xml:space="preserve">Art. 16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 poprzez naruszenie zasady proporcjonalności i równego traktowania wykonawców, wyrażającej się w nieproporcjonalnym ukształtowaniu praw i obowiązków stron umowy, co skutkuje przerzuceniem większości ryzyk kontraktowych na Wykonawcę;</w:t>
      </w:r>
    </w:p>
    <w:p w14:paraId="4B2738E0" w14:textId="77777777" w:rsidR="00AB5E44" w:rsidRPr="00AB5E44" w:rsidRDefault="00AB5E44" w:rsidP="00AB5E44">
      <w:pPr>
        <w:numPr>
          <w:ilvl w:val="0"/>
          <w:numId w:val="1"/>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Art. 433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 poprzez wprowadzenie do projektu umowy postanowień kształtujących prawa i obowiązki stron w sposób rażąco nieproporcjonalny i niezgodny z art. 433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w szczególności: </w:t>
      </w:r>
    </w:p>
    <w:p w14:paraId="3ABDD6EC" w14:textId="77777777" w:rsidR="00AB5E44" w:rsidRPr="00AB5E44" w:rsidRDefault="00AB5E44" w:rsidP="00AB5E44">
      <w:pPr>
        <w:numPr>
          <w:ilvl w:val="1"/>
          <w:numId w:val="1"/>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przewidujących odpowiedzialność wykonawcy za opóźnienia niezawinione (art. 433 pkt 1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1FEAE4A4" w14:textId="77777777" w:rsidR="00AB5E44" w:rsidRPr="00AB5E44" w:rsidRDefault="00AB5E44" w:rsidP="00AB5E44">
      <w:pPr>
        <w:numPr>
          <w:ilvl w:val="1"/>
          <w:numId w:val="1"/>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przewidujących odpowiedzialność wykonawcy za okoliczności, za które wyłączną odpowiedzialność ponosi zamawiający (art. 433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1152374E" w14:textId="77777777" w:rsidR="00AB5E44" w:rsidRPr="00AB5E44" w:rsidRDefault="00AB5E44" w:rsidP="00AB5E44">
      <w:pPr>
        <w:numPr>
          <w:ilvl w:val="0"/>
          <w:numId w:val="1"/>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 poprzez sformułowanie nieadekwatnych mechanizmów waloryzacji wynagrodzenia, niezapewniających rzeczywistej ochrony przed ryzykiem inflacyjnym w umowie długoterminowej;</w:t>
      </w:r>
    </w:p>
    <w:p w14:paraId="1A206901" w14:textId="77777777" w:rsidR="00AB5E44" w:rsidRPr="00AB5E44" w:rsidRDefault="00AB5E44" w:rsidP="00AB5E44">
      <w:pPr>
        <w:numPr>
          <w:ilvl w:val="0"/>
          <w:numId w:val="1"/>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Art. 436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 poprzez ustanowienie kar umownych z naruszeniem zasady proporcjonalności, w tym ustalenie ich nieproporcjonalnie wysokiego poziomu oraz przewidzenie możliwości ich kumulacji.</w:t>
      </w:r>
    </w:p>
    <w:p w14:paraId="686911A5"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ŻĄDANIA</w:t>
      </w:r>
    </w:p>
    <w:p w14:paraId="21D6CF5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W związku z powyższym, na podstawie art. 554 ust. 3 pkt 1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wnoszę o:</w:t>
      </w:r>
    </w:p>
    <w:p w14:paraId="1187BC5C" w14:textId="77777777" w:rsidR="00373C2B" w:rsidRDefault="00AB5E44" w:rsidP="00AB5E44">
      <w:pPr>
        <w:numPr>
          <w:ilvl w:val="0"/>
          <w:numId w:val="2"/>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Nakazanie Zamawiającemu modyfikacji treści SWZ, w tym projektu umowy, w sposób zapewniający zgodność z przepisami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oraz równomierne rozłożenie ryzyk kontraktowych, w szczególności poprzez: </w:t>
      </w:r>
    </w:p>
    <w:p w14:paraId="2E0CC539" w14:textId="77777777" w:rsidR="00363097"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a) Wprowadzenie kar umownych dla Zamawiającego za naruszenie kluczowych zobowiązań (opóźnienia w płatnościach, odbiorach, dostarczeniu dokumentacji);</w:t>
      </w:r>
    </w:p>
    <w:p w14:paraId="2F0E8F58" w14:textId="77777777" w:rsidR="00363097"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b) Zwiększenie limitu waloryzacji do co najmniej 25% lub wprowadzenie mechanizmu renegocjacji warunków przy przekroczeniu progu 15%; </w:t>
      </w:r>
    </w:p>
    <w:p w14:paraId="310D047F" w14:textId="77777777" w:rsidR="00363097"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c) Wprowadzenie mechanizmu przedłużenia terminów realizacji i rekompensaty kosztów przestoju w przypadku opóźnień niezawinionych przez Wykonawcę; </w:t>
      </w:r>
    </w:p>
    <w:p w14:paraId="4BE06EEC" w14:textId="77777777" w:rsidR="00363097"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d) Doprecyzowanie kryteriów "uchybień mniejszej wagi" i ograniczenie kwoty zatrzymanej do maksymalnie 5% wartości danego etapu; </w:t>
      </w:r>
    </w:p>
    <w:p w14:paraId="3E61CC9E" w14:textId="77777777" w:rsidR="00E64C51"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e) Obniżenie limitu łącznej wysokości kar umownych do 15% wartości wynagrodzenia; </w:t>
      </w:r>
    </w:p>
    <w:p w14:paraId="43578906" w14:textId="77777777" w:rsidR="00E64C51"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f) Wprowadzenie wieloetapowej procedury rozwiązywania sporów przed skierowaniem sprawy do sądu; </w:t>
      </w:r>
    </w:p>
    <w:p w14:paraId="32C1C797" w14:textId="77777777" w:rsidR="00E64C51"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g) Zmodyfikowanie postanowień dotyczących automatycznego naliczania kar umownych, poprzez uzależnienie ich od wykazania winy Wykonawcy oraz rzeczywistej szkody; </w:t>
      </w:r>
    </w:p>
    <w:p w14:paraId="1C2BE6E0" w14:textId="77777777" w:rsidR="00E64C51"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 xml:space="preserve">h) Objęcie waloryzacją wszystkich elementów wynagrodzenia podatnych na zmiany cen rynkowych; </w:t>
      </w:r>
    </w:p>
    <w:p w14:paraId="48DC313D" w14:textId="4F12B80F" w:rsidR="00AB5E44" w:rsidRPr="00AB5E44" w:rsidRDefault="00AB5E44" w:rsidP="00363097">
      <w:pPr>
        <w:spacing w:line="276" w:lineRule="auto"/>
        <w:ind w:left="720"/>
        <w:jc w:val="both"/>
        <w:rPr>
          <w:rFonts w:ascii="Times New Roman" w:hAnsi="Times New Roman" w:cs="Times New Roman"/>
          <w:lang w:val="pl-PL"/>
        </w:rPr>
      </w:pPr>
      <w:r w:rsidRPr="00AB5E44">
        <w:rPr>
          <w:rFonts w:ascii="Times New Roman" w:hAnsi="Times New Roman" w:cs="Times New Roman"/>
          <w:lang w:val="pl-PL"/>
        </w:rPr>
        <w:t>i) Precyzyjne określenie daty bazowej dla obliczania waloryzacji.</w:t>
      </w:r>
    </w:p>
    <w:p w14:paraId="4259D0B2" w14:textId="77777777" w:rsidR="00AB5E44" w:rsidRPr="00AB5E44" w:rsidRDefault="00AB5E44" w:rsidP="00AB5E44">
      <w:pPr>
        <w:numPr>
          <w:ilvl w:val="0"/>
          <w:numId w:val="2"/>
        </w:numPr>
        <w:spacing w:line="276" w:lineRule="auto"/>
        <w:jc w:val="both"/>
        <w:rPr>
          <w:rFonts w:ascii="Times New Roman" w:hAnsi="Times New Roman" w:cs="Times New Roman"/>
          <w:lang w:val="pl-PL"/>
        </w:rPr>
      </w:pPr>
      <w:r w:rsidRPr="00AB5E44">
        <w:rPr>
          <w:rFonts w:ascii="Times New Roman" w:hAnsi="Times New Roman" w:cs="Times New Roman"/>
          <w:lang w:val="pl-PL"/>
        </w:rPr>
        <w:t>Zasądzenie od Zamawiającego na rzecz Odwołującego kosztów postępowania odwoławczego, w tym kosztów zastępstwa procesowego, według norm przepisanych.</w:t>
      </w:r>
    </w:p>
    <w:p w14:paraId="0AA806D9"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lastRenderedPageBreak/>
        <w:t>UZASADNIENIE</w:t>
      </w:r>
    </w:p>
    <w:p w14:paraId="6B1B5F90"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I. Interes w uzyskaniu zamówienia oraz szkoda</w:t>
      </w:r>
    </w:p>
    <w:p w14:paraId="142E0203"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Odwołujący jest profesjonalnym podmiotem działającym na rynku usług inżynieryjnych i doradczych, posiadającym wieloletnie doświadczenie w pełnieniu funkcji inżyniera kontraktu przy realizacji złożonych projektów infrastrukturalnych. Odwołujący zamierza ubiegać się o przedmiotowe zamówienie, jednak kwestionowane postanowienia umowne skutkują nadmiernym i nieproporcjonalnym ryzykiem kontraktowym, co uniemożliwia złożenie konkurencyjnej oferty bez narażenia się na istotne ryzyko biznesowe.</w:t>
      </w:r>
    </w:p>
    <w:p w14:paraId="440FF9B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Szkoda Odwołującego wyraża się w niemożności uzyskania zamówienia publicznego ze względu na nieproporcjonalne i nadmierne ryzyko, jakie wiązałoby się z realizacją umowy na warunkach określonych przez Zamawiającego. Utrzymanie kwestionowanych zapisów umownych spowoduje, że Odwołujący albo będzie zmuszony zrezygnować z ubiegania się o zamówienie, albo uwzględnić w ofercie znaczącą premię za ryzyko, co istotnie zmniejszy konkurencyjność jego oferty.</w:t>
      </w:r>
    </w:p>
    <w:p w14:paraId="33ECC0E5"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II. Szczegółowe uzasadnienie zarzutów</w:t>
      </w:r>
    </w:p>
    <w:p w14:paraId="1CB0E6FD"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 xml:space="preserve">1. Naruszenie art. 16 </w:t>
      </w:r>
      <w:proofErr w:type="spellStart"/>
      <w:r w:rsidRPr="00AB5E44">
        <w:rPr>
          <w:rFonts w:ascii="Times New Roman" w:hAnsi="Times New Roman" w:cs="Times New Roman"/>
          <w:b/>
          <w:bCs/>
          <w:lang w:val="pl-PL"/>
        </w:rPr>
        <w:t>uPZP</w:t>
      </w:r>
      <w:proofErr w:type="spellEnd"/>
      <w:r w:rsidRPr="00AB5E44">
        <w:rPr>
          <w:rFonts w:ascii="Times New Roman" w:hAnsi="Times New Roman" w:cs="Times New Roman"/>
          <w:b/>
          <w:bCs/>
          <w:lang w:val="pl-PL"/>
        </w:rPr>
        <w:t xml:space="preserve"> - Zasada proporcjonalności i równego traktowania</w:t>
      </w:r>
    </w:p>
    <w:p w14:paraId="499A2A9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Zamawiający naruszył zasadę proporcjonalności i równego traktowania wykonawców wyrażoną w art. 16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poprzez ukształtowanie postanowień umowy w sposób rażąco nieproporcjonalny i faworyzujący Zamawiającego. Naruszenie to znajduje wyraz w następujących obszarach:</w:t>
      </w:r>
    </w:p>
    <w:p w14:paraId="3A5FA80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 </w:t>
      </w:r>
      <w:r w:rsidRPr="00AB5E44">
        <w:rPr>
          <w:rFonts w:ascii="Times New Roman" w:hAnsi="Times New Roman" w:cs="Times New Roman"/>
          <w:b/>
          <w:bCs/>
          <w:lang w:val="pl-PL"/>
        </w:rPr>
        <w:t>Nierównomierna alokacja ryzyka i odpowiedzialności</w:t>
      </w:r>
      <w:r w:rsidRPr="00AB5E44">
        <w:rPr>
          <w:rFonts w:ascii="Times New Roman" w:hAnsi="Times New Roman" w:cs="Times New Roman"/>
          <w:lang w:val="pl-PL"/>
        </w:rPr>
        <w:t>:</w:t>
      </w:r>
    </w:p>
    <w:p w14:paraId="02BF27D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Projekt umowy przewiduje liczne i wysokie kary umowne nakładane wyłącznie na Wykonawcę (K1), bez analogicznych mechanizmów dla Zamawiającego. Kary te mają charakter automatyczny (K3), niezależny od faktycznie poniesionej szkody i mogą kumulować się do 25% wynagrodzenia maksymalnego (K7), co przy planowanej marży na poziomie 5% prowadzi do radykalnej asymetrii ryzyka.</w:t>
      </w:r>
    </w:p>
    <w:p w14:paraId="7A66FA4D"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Szczegółowa analiza wykazała, że umowa zawiera następujące mechanizmy kar:</w:t>
      </w:r>
    </w:p>
    <w:p w14:paraId="5B9D4E77" w14:textId="77777777" w:rsidR="00AB5E44" w:rsidRPr="00AB5E44" w:rsidRDefault="00AB5E44" w:rsidP="00AB5E44">
      <w:pPr>
        <w:numPr>
          <w:ilvl w:val="0"/>
          <w:numId w:val="3"/>
        </w:numPr>
        <w:spacing w:line="276" w:lineRule="auto"/>
        <w:jc w:val="both"/>
        <w:rPr>
          <w:rFonts w:ascii="Times New Roman" w:hAnsi="Times New Roman" w:cs="Times New Roman"/>
          <w:lang w:val="pl-PL"/>
        </w:rPr>
      </w:pPr>
      <w:r w:rsidRPr="00AB5E44">
        <w:rPr>
          <w:rFonts w:ascii="Times New Roman" w:hAnsi="Times New Roman" w:cs="Times New Roman"/>
          <w:lang w:val="pl-PL"/>
        </w:rPr>
        <w:t>Kara za odstąpienie lub wypowiedzenie Umowy: 20% Całkowitego Wynagrodzenia Maksymalnego</w:t>
      </w:r>
    </w:p>
    <w:p w14:paraId="3CD80AC4" w14:textId="77777777" w:rsidR="00AB5E44" w:rsidRPr="00AB5E44" w:rsidRDefault="00AB5E44" w:rsidP="00AB5E44">
      <w:pPr>
        <w:numPr>
          <w:ilvl w:val="0"/>
          <w:numId w:val="3"/>
        </w:numPr>
        <w:spacing w:line="276" w:lineRule="auto"/>
        <w:jc w:val="both"/>
        <w:rPr>
          <w:rFonts w:ascii="Times New Roman" w:hAnsi="Times New Roman" w:cs="Times New Roman"/>
          <w:lang w:val="pl-PL"/>
        </w:rPr>
      </w:pPr>
      <w:r w:rsidRPr="00AB5E44">
        <w:rPr>
          <w:rFonts w:ascii="Times New Roman" w:hAnsi="Times New Roman" w:cs="Times New Roman"/>
          <w:lang w:val="pl-PL"/>
        </w:rPr>
        <w:t>Kary za nieobecność lub przedwczesne opuszczenie przez członka Personelu: 1,000 PLN</w:t>
      </w:r>
    </w:p>
    <w:p w14:paraId="4721CB62" w14:textId="77777777" w:rsidR="00AB5E44" w:rsidRPr="00AB5E44" w:rsidRDefault="00AB5E44" w:rsidP="00AB5E44">
      <w:pPr>
        <w:numPr>
          <w:ilvl w:val="0"/>
          <w:numId w:val="3"/>
        </w:numPr>
        <w:spacing w:line="276" w:lineRule="auto"/>
        <w:jc w:val="both"/>
        <w:rPr>
          <w:rFonts w:ascii="Times New Roman" w:hAnsi="Times New Roman" w:cs="Times New Roman"/>
          <w:lang w:val="pl-PL"/>
        </w:rPr>
      </w:pPr>
      <w:r w:rsidRPr="00AB5E44">
        <w:rPr>
          <w:rFonts w:ascii="Times New Roman" w:hAnsi="Times New Roman" w:cs="Times New Roman"/>
          <w:lang w:val="pl-PL"/>
        </w:rPr>
        <w:t>Naruszenia dotyczące poufności lub sprzeczności interesów: do 500,000 PLN</w:t>
      </w:r>
    </w:p>
    <w:p w14:paraId="768441B2" w14:textId="77777777" w:rsidR="00AB5E44" w:rsidRPr="00AB5E44" w:rsidRDefault="00AB5E44" w:rsidP="00AB5E44">
      <w:pPr>
        <w:numPr>
          <w:ilvl w:val="0"/>
          <w:numId w:val="3"/>
        </w:numPr>
        <w:spacing w:line="276" w:lineRule="auto"/>
        <w:jc w:val="both"/>
        <w:rPr>
          <w:rFonts w:ascii="Times New Roman" w:hAnsi="Times New Roman" w:cs="Times New Roman"/>
          <w:lang w:val="pl-PL"/>
        </w:rPr>
      </w:pPr>
      <w:r w:rsidRPr="00AB5E44">
        <w:rPr>
          <w:rFonts w:ascii="Times New Roman" w:hAnsi="Times New Roman" w:cs="Times New Roman"/>
          <w:lang w:val="pl-PL"/>
        </w:rPr>
        <w:t>Naruszenia wynikające z braku zapłaty Podwykonawcom: 1,000 PLN za dzień zwłoki</w:t>
      </w:r>
    </w:p>
    <w:p w14:paraId="4AD9345D"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Tymczasem umowa nie przewiduje żadnych kar dla Zamawiającego za naruszenia jego zobowiązań, w tym:</w:t>
      </w:r>
    </w:p>
    <w:p w14:paraId="09BAA071" w14:textId="77777777" w:rsidR="00AB5E44" w:rsidRPr="00AB5E44" w:rsidRDefault="00AB5E44" w:rsidP="00AB5E44">
      <w:pPr>
        <w:numPr>
          <w:ilvl w:val="0"/>
          <w:numId w:val="4"/>
        </w:num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Opóźnienia w przekazaniu informacji, dokumentów lub dostępu do terenu</w:t>
      </w:r>
    </w:p>
    <w:p w14:paraId="57A9BB8F" w14:textId="77777777" w:rsidR="00AB5E44" w:rsidRPr="00AB5E44" w:rsidRDefault="00AB5E44" w:rsidP="00AB5E44">
      <w:pPr>
        <w:numPr>
          <w:ilvl w:val="0"/>
          <w:numId w:val="4"/>
        </w:numPr>
        <w:spacing w:line="276" w:lineRule="auto"/>
        <w:jc w:val="both"/>
        <w:rPr>
          <w:rFonts w:ascii="Times New Roman" w:hAnsi="Times New Roman" w:cs="Times New Roman"/>
          <w:lang w:val="pl-PL"/>
        </w:rPr>
      </w:pPr>
      <w:r w:rsidRPr="00AB5E44">
        <w:rPr>
          <w:rFonts w:ascii="Times New Roman" w:hAnsi="Times New Roman" w:cs="Times New Roman"/>
          <w:lang w:val="pl-PL"/>
        </w:rPr>
        <w:t>Opóźnienia w odbiorze prac i zatwierdzeniu dokumentacji</w:t>
      </w:r>
    </w:p>
    <w:p w14:paraId="258D32BE" w14:textId="77777777" w:rsidR="00AB5E44" w:rsidRPr="00AB5E44" w:rsidRDefault="00AB5E44" w:rsidP="00AB5E44">
      <w:pPr>
        <w:numPr>
          <w:ilvl w:val="0"/>
          <w:numId w:val="4"/>
        </w:numPr>
        <w:spacing w:line="276" w:lineRule="auto"/>
        <w:jc w:val="both"/>
        <w:rPr>
          <w:rFonts w:ascii="Times New Roman" w:hAnsi="Times New Roman" w:cs="Times New Roman"/>
          <w:lang w:val="pl-PL"/>
        </w:rPr>
      </w:pPr>
      <w:r w:rsidRPr="00AB5E44">
        <w:rPr>
          <w:rFonts w:ascii="Times New Roman" w:hAnsi="Times New Roman" w:cs="Times New Roman"/>
          <w:lang w:val="pl-PL"/>
        </w:rPr>
        <w:t>Opóźnienia w płatnościach (poza ustawowymi odsetkami)</w:t>
      </w:r>
    </w:p>
    <w:p w14:paraId="34E07C0A" w14:textId="77777777" w:rsidR="00AB5E44" w:rsidRPr="00AB5E44" w:rsidRDefault="00AB5E44" w:rsidP="00AB5E44">
      <w:pPr>
        <w:numPr>
          <w:ilvl w:val="0"/>
          <w:numId w:val="4"/>
        </w:numPr>
        <w:spacing w:line="276" w:lineRule="auto"/>
        <w:jc w:val="both"/>
        <w:rPr>
          <w:rFonts w:ascii="Times New Roman" w:hAnsi="Times New Roman" w:cs="Times New Roman"/>
          <w:lang w:val="pl-PL"/>
        </w:rPr>
      </w:pPr>
      <w:r w:rsidRPr="00AB5E44">
        <w:rPr>
          <w:rFonts w:ascii="Times New Roman" w:hAnsi="Times New Roman" w:cs="Times New Roman"/>
          <w:lang w:val="pl-PL"/>
        </w:rPr>
        <w:t>Odstąpienie od umowy z przyczyn leżących po stronie Zamawiającego</w:t>
      </w:r>
    </w:p>
    <w:p w14:paraId="23035D6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Taka konstrukcja umowy tworzy fundamentalną nierównowagę kontraktową, co jest sprzeczne z zasadą proporcjonalności wyrażoną w art. 16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53223298"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b) </w:t>
      </w:r>
      <w:r w:rsidRPr="00AB5E44">
        <w:rPr>
          <w:rFonts w:ascii="Times New Roman" w:hAnsi="Times New Roman" w:cs="Times New Roman"/>
          <w:b/>
          <w:bCs/>
          <w:lang w:val="pl-PL"/>
        </w:rPr>
        <w:t>Nieadekwatność mechanizmów finansowych</w:t>
      </w:r>
      <w:r w:rsidRPr="00AB5E44">
        <w:rPr>
          <w:rFonts w:ascii="Times New Roman" w:hAnsi="Times New Roman" w:cs="Times New Roman"/>
          <w:lang w:val="pl-PL"/>
        </w:rPr>
        <w:t>:</w:t>
      </w:r>
    </w:p>
    <w:p w14:paraId="61FBE1A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ogranicza waloryzację wynagrodzenia do maksymalnie 15% (C1), co przy potencjalnie długim okresie realizacji i obecnej sytuacji ekonomicznej jest całkowicie nieadekwatne. Ponadto waloryzacji podlega tylko część wynagrodzenia (C2), co dodatkowo zmniejsza faktyczną ochronę przed ryzykiem inflacyjnym.</w:t>
      </w:r>
    </w:p>
    <w:p w14:paraId="170DE911"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Zgodnie z pkt 11 Umowy, waloryzacji podlegają jedynie wybrane elementy wynagrodzenia:</w:t>
      </w:r>
    </w:p>
    <w:p w14:paraId="0BB2F9A3" w14:textId="77777777" w:rsidR="00AB5E44" w:rsidRPr="00AB5E44" w:rsidRDefault="00AB5E44" w:rsidP="00AB5E44">
      <w:pPr>
        <w:numPr>
          <w:ilvl w:val="0"/>
          <w:numId w:val="5"/>
        </w:numPr>
        <w:spacing w:line="276" w:lineRule="auto"/>
        <w:jc w:val="both"/>
        <w:rPr>
          <w:rFonts w:ascii="Times New Roman" w:hAnsi="Times New Roman" w:cs="Times New Roman"/>
          <w:lang w:val="pl-PL"/>
        </w:rPr>
      </w:pPr>
      <w:r w:rsidRPr="00AB5E44">
        <w:rPr>
          <w:rFonts w:ascii="Times New Roman" w:hAnsi="Times New Roman" w:cs="Times New Roman"/>
          <w:lang w:val="pl-PL"/>
        </w:rPr>
        <w:t>miesięczne wynagrodzenie ryczałtowe za realizację Zadań z grupy Zadań 1, 2, 3 i 4 (</w:t>
      </w:r>
      <w:proofErr w:type="spellStart"/>
      <w:r w:rsidRPr="00AB5E44">
        <w:rPr>
          <w:rFonts w:ascii="Times New Roman" w:hAnsi="Times New Roman" w:cs="Times New Roman"/>
          <w:lang w:val="pl-PL"/>
        </w:rPr>
        <w:t>Wrm</w:t>
      </w:r>
      <w:proofErr w:type="spellEnd"/>
      <w:r w:rsidRPr="00AB5E44">
        <w:rPr>
          <w:rFonts w:ascii="Times New Roman" w:hAnsi="Times New Roman" w:cs="Times New Roman"/>
          <w:lang w:val="pl-PL"/>
        </w:rPr>
        <w:t>)</w:t>
      </w:r>
    </w:p>
    <w:p w14:paraId="6C1F8820" w14:textId="77777777" w:rsidR="00AB5E44" w:rsidRPr="00AB5E44" w:rsidRDefault="00AB5E44" w:rsidP="00AB5E44">
      <w:pPr>
        <w:numPr>
          <w:ilvl w:val="0"/>
          <w:numId w:val="5"/>
        </w:numPr>
        <w:spacing w:line="276" w:lineRule="auto"/>
        <w:jc w:val="both"/>
        <w:rPr>
          <w:rFonts w:ascii="Times New Roman" w:hAnsi="Times New Roman" w:cs="Times New Roman"/>
          <w:lang w:val="pl-PL"/>
        </w:rPr>
      </w:pPr>
      <w:r w:rsidRPr="00AB5E44">
        <w:rPr>
          <w:rFonts w:ascii="Times New Roman" w:hAnsi="Times New Roman" w:cs="Times New Roman"/>
          <w:lang w:val="pl-PL"/>
        </w:rPr>
        <w:t>miesięczne wynagrodzenie ryczałtowe za realizację Zadania w Okresie Wydłużonym (</w:t>
      </w:r>
      <w:proofErr w:type="spellStart"/>
      <w:r w:rsidRPr="00AB5E44">
        <w:rPr>
          <w:rFonts w:ascii="Times New Roman" w:hAnsi="Times New Roman" w:cs="Times New Roman"/>
          <w:lang w:val="pl-PL"/>
        </w:rPr>
        <w:t>Wdrm</w:t>
      </w:r>
      <w:proofErr w:type="spellEnd"/>
      <w:r w:rsidRPr="00AB5E44">
        <w:rPr>
          <w:rFonts w:ascii="Times New Roman" w:hAnsi="Times New Roman" w:cs="Times New Roman"/>
          <w:lang w:val="pl-PL"/>
        </w:rPr>
        <w:t>)</w:t>
      </w:r>
    </w:p>
    <w:p w14:paraId="10B6306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Przy planowanym okresie realizacji przekraczającym 12 miesięcy i obecnym poziomie inflacji, limit waloryzacji 15% może zostać wyczerpany już w pierwszej połowie okresu realizacji, pozostawiając Wykonawcę bez ochrony przed dalszymi wzrostami kosztów.</w:t>
      </w:r>
    </w:p>
    <w:p w14:paraId="386AE3B6"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c) </w:t>
      </w:r>
      <w:r w:rsidRPr="00AB5E44">
        <w:rPr>
          <w:rFonts w:ascii="Times New Roman" w:hAnsi="Times New Roman" w:cs="Times New Roman"/>
          <w:b/>
          <w:bCs/>
          <w:lang w:val="pl-PL"/>
        </w:rPr>
        <w:t>Ograniczona elastyczność operacyjna</w:t>
      </w:r>
      <w:r w:rsidRPr="00AB5E44">
        <w:rPr>
          <w:rFonts w:ascii="Times New Roman" w:hAnsi="Times New Roman" w:cs="Times New Roman"/>
          <w:lang w:val="pl-PL"/>
        </w:rPr>
        <w:t>:</w:t>
      </w:r>
    </w:p>
    <w:p w14:paraId="77AE9B3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nie zawiera mechanizmów przedłużenia terminów realizacji w przypadku opóźnień niezawinionych przez Wykonawcę (H1), co naraża go na ryzyko naliczenia kar umownych za okoliczności pozostające poza jego kontrolą. Ponadto nieprecyzyjnie określa kryteria "uchybień mniejszej wagi" (D2), umożliwiając zatrzymanie do 20% wynagrodzenia (F2) na podstawie subiektywnej oceny Zamawiającego.</w:t>
      </w:r>
    </w:p>
    <w:p w14:paraId="0085DF4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Przykładowo, zgodnie z pkt 12.7 Umowy, Zamawiający może zatrzymać do 20% wynagrodzenia przy odbiorze częściowym z powodu "uchybień mniejszej wagi", bez precyzyjnego określenia, co stanowi takie uchybienie. Taka konstrukcja daje Zamawiającemu arbitralną władzę nad znaczącą częścią wynagrodzenia Wykonawcy.</w:t>
      </w:r>
    </w:p>
    <w:p w14:paraId="2AD48815"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W świetle orzecznictwa KIO (np. wyrok z dnia 27.11.2020 r., sygn. akt KIO 2897/20), zasada proporcjonalności wymaga, aby rozkład praw i obowiązków stron umowy był zrównoważony i uwzględniał uzasadnione interesy obu stron. Kwestionowane postanowienia umowne naruszają tę zasadę.</w:t>
      </w:r>
    </w:p>
    <w:p w14:paraId="367551D1"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 xml:space="preserve">2. Naruszenie art. 433 </w:t>
      </w:r>
      <w:proofErr w:type="spellStart"/>
      <w:r w:rsidRPr="00AB5E44">
        <w:rPr>
          <w:rFonts w:ascii="Times New Roman" w:hAnsi="Times New Roman" w:cs="Times New Roman"/>
          <w:b/>
          <w:bCs/>
          <w:lang w:val="pl-PL"/>
        </w:rPr>
        <w:t>uPZP</w:t>
      </w:r>
      <w:proofErr w:type="spellEnd"/>
      <w:r w:rsidRPr="00AB5E44">
        <w:rPr>
          <w:rFonts w:ascii="Times New Roman" w:hAnsi="Times New Roman" w:cs="Times New Roman"/>
          <w:b/>
          <w:bCs/>
          <w:lang w:val="pl-PL"/>
        </w:rPr>
        <w:t xml:space="preserve"> - Niedozwolone postanowienia umowne</w:t>
      </w:r>
    </w:p>
    <w:p w14:paraId="4DD08924"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 xml:space="preserve">Zamawiający naruszył art. 433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poprzez wprowadzenie do projektu umowy następujących niedozwolonych postanowień:</w:t>
      </w:r>
    </w:p>
    <w:p w14:paraId="542A13E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 </w:t>
      </w:r>
      <w:r w:rsidRPr="00AB5E44">
        <w:rPr>
          <w:rFonts w:ascii="Times New Roman" w:hAnsi="Times New Roman" w:cs="Times New Roman"/>
          <w:b/>
          <w:bCs/>
          <w:lang w:val="pl-PL"/>
        </w:rPr>
        <w:t>Automatyczne naliczanie kar umownych bez względu na winę Wykonawcy (K3)</w:t>
      </w:r>
      <w:r w:rsidRPr="00AB5E44">
        <w:rPr>
          <w:rFonts w:ascii="Times New Roman" w:hAnsi="Times New Roman" w:cs="Times New Roman"/>
          <w:lang w:val="pl-PL"/>
        </w:rPr>
        <w:t>:</w:t>
      </w:r>
    </w:p>
    <w:p w14:paraId="6D49647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zakłada automatyczny charakter kar umownych bez badania winy Wykonawcy, co narusza art. 433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W treści umowy wskazano, że "kary umowne będą miały automatyczny charakter, bez względu na wysokość realnie poniesionej szkody przez Zamawiającego."</w:t>
      </w:r>
    </w:p>
    <w:p w14:paraId="33A13A1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Automatyzm nakładania kar umownych stoi w sprzeczności z ogólnymi zasadami odpowiedzialności kontraktowej, które wymagają wykazania winy strony naruszającej umowę. W orzecznictwie KIO wielokrotnie podkreślano, że kary umowne nie mogą być naliczane za okoliczności, za które Wykonawca nie ponosi winy (np. wyrok KIO z dnia 27.08.2020 r., sygn. akt KIO 1700/20).</w:t>
      </w:r>
    </w:p>
    <w:p w14:paraId="4B3EA287"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Zapis o automatycznym charakterze kar narusza równowagę stron umowy, gdyż Wykonawca zostaje pozbawiony możliwości wykazania, że naruszenie nastąpiło z przyczyn od niego niezależnych.</w:t>
      </w:r>
    </w:p>
    <w:p w14:paraId="3CEDFFE4"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b) </w:t>
      </w:r>
      <w:r w:rsidRPr="00AB5E44">
        <w:rPr>
          <w:rFonts w:ascii="Times New Roman" w:hAnsi="Times New Roman" w:cs="Times New Roman"/>
          <w:b/>
          <w:bCs/>
          <w:lang w:val="pl-PL"/>
        </w:rPr>
        <w:t>Brak mechanizmu przedłużenia terminów realizacji w przypadku opóźnień niezawinionych przez Wykonawcę (H1)</w:t>
      </w:r>
      <w:r w:rsidRPr="00AB5E44">
        <w:rPr>
          <w:rFonts w:ascii="Times New Roman" w:hAnsi="Times New Roman" w:cs="Times New Roman"/>
          <w:lang w:val="pl-PL"/>
        </w:rPr>
        <w:t>:</w:t>
      </w:r>
    </w:p>
    <w:p w14:paraId="117EA86B"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nie przewiduje adekwatnych mechanizmów przedłużenia terminów realizacji w przypadku opóźnień niezawinionych przez Wykonawcę, co stanowi naruszenie art. 433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430FDB8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nakłada na Wykonawcę ryzyko odpowiedzialności za opóźnienia niezależne od jego działań, w tym opóźnienia wynikające z działań lub zaniechań Zamawiającego. Brak mechanizmu przedłużenia terminów w przypadku działania siły wyższej, opóźnień w dostarczeniu dokumentacji przez Zamawiającego czy opóźnień procedur administracyjnych stanowi przerzucenie na Wykonawcę odpowiedzialności za okoliczności, na które nie ma on wpływu.</w:t>
      </w:r>
    </w:p>
    <w:p w14:paraId="5264940B"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W świetle orzecznictwa KIO (np. wyrok z dnia 12.05.2021 r., sygn. akt KIO 940/21), Zamawiający nie może obciążać Wykonawcy odpowiedzialnością za zdarzenia, na które ten nie ma wpływu.</w:t>
      </w:r>
    </w:p>
    <w:p w14:paraId="77903BF7"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c) </w:t>
      </w:r>
      <w:r w:rsidRPr="00AB5E44">
        <w:rPr>
          <w:rFonts w:ascii="Times New Roman" w:hAnsi="Times New Roman" w:cs="Times New Roman"/>
          <w:b/>
          <w:bCs/>
          <w:lang w:val="pl-PL"/>
        </w:rPr>
        <w:t>Możliwość zatrzymania 20% wynagrodzenia za nieprecyzyjnie określone "uchybienia mniejszej wagi" (F2, D2)</w:t>
      </w:r>
      <w:r w:rsidRPr="00AB5E44">
        <w:rPr>
          <w:rFonts w:ascii="Times New Roman" w:hAnsi="Times New Roman" w:cs="Times New Roman"/>
          <w:lang w:val="pl-PL"/>
        </w:rPr>
        <w:t>:</w:t>
      </w:r>
    </w:p>
    <w:p w14:paraId="735967F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przewiduje możliwość zatrzymania do 20% wynagrodzenia w przypadku stwierdzenia "uchybień mniejszej wagi" przy odbiorze częściowym, bez precyzyjnego określenia kryteriów oceny takich uchybień, co narusza art. 433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przez wprowadzenie nieproporcjonalnych i nieobiektywnych kryteriów.</w:t>
      </w:r>
    </w:p>
    <w:p w14:paraId="47F75F74"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Postanowienie zawarte w pkt 12.7 Umowy, dopuszczające zatrzymanie 20% wynagrodzenia za "uchybienia mniejszej wagi" bez precyzyjnego określenia kryteriów, daje Zamawiającemu </w:t>
      </w:r>
      <w:r w:rsidRPr="00AB5E44">
        <w:rPr>
          <w:rFonts w:ascii="Times New Roman" w:hAnsi="Times New Roman" w:cs="Times New Roman"/>
          <w:lang w:val="pl-PL"/>
        </w:rPr>
        <w:lastRenderedPageBreak/>
        <w:t>jednostronną i arbitralną możliwość wstrzymania znaczącej części płatności. Wstrzymanie 20% wynagrodzenia jest nieproporcjonalne do charakteru uchybień określonych jako "mniejszej wagi".</w:t>
      </w:r>
    </w:p>
    <w:p w14:paraId="7815B96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W orzecznictwie KIO wielokrotnie podkreślano (np. wyrok KIO z dnia 15.03.2022 r., sygn. akt KIO 558/22), że postanowienia umowne muszą być precyzyjne i jednoznaczne, aby Wykonawca mógł ocenić ryzyko związane z realizacją umowy.</w:t>
      </w:r>
    </w:p>
    <w:p w14:paraId="7477BE6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d) </w:t>
      </w:r>
      <w:r w:rsidRPr="00AB5E44">
        <w:rPr>
          <w:rFonts w:ascii="Times New Roman" w:hAnsi="Times New Roman" w:cs="Times New Roman"/>
          <w:b/>
          <w:bCs/>
          <w:lang w:val="pl-PL"/>
        </w:rPr>
        <w:t>Szerokie prawo Zamawiającego do wykonania zastępczego (D10)</w:t>
      </w:r>
      <w:r w:rsidRPr="00AB5E44">
        <w:rPr>
          <w:rFonts w:ascii="Times New Roman" w:hAnsi="Times New Roman" w:cs="Times New Roman"/>
          <w:lang w:val="pl-PL"/>
        </w:rPr>
        <w:t>:</w:t>
      </w:r>
    </w:p>
    <w:p w14:paraId="30D1330A"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Prawo Zamawiającego do wykonania zastępczego jest sformułowane zbyt szeroko, bez precyzyjnego określenia przesłanek jego zastosowania oraz bez adekwatnego terminu na usunięcie uchybień przez Wykonawcę, co narusza art. 433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649FDF9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przyznaje Zamawiającemu bardzo szerokie uprawnienia do wykonania zastępczego (pkt 13.14-13.21), bez wymogu obiektywnego wykazania niewykonania lub nienależytego wykonania zobowiązania przez Wykonawcę. Brak precyzyjnego, odpowiedniego do wagi naruszenia terminu na usunięcie uchybień przed możliwością skorzystania przez Zamawiającego z wykonania zastępczego stanowi nieproporcjonalne obciążenie Wykonawcy.</w:t>
      </w:r>
    </w:p>
    <w:p w14:paraId="6450D52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e) </w:t>
      </w:r>
      <w:r w:rsidRPr="00AB5E44">
        <w:rPr>
          <w:rFonts w:ascii="Times New Roman" w:hAnsi="Times New Roman" w:cs="Times New Roman"/>
          <w:b/>
          <w:bCs/>
          <w:lang w:val="pl-PL"/>
        </w:rPr>
        <w:t>Obciążenie Wykonawcy odpowiedzialnością za działania Podwykonawców bez analogicznych mechanizmów ochronnych (K5)</w:t>
      </w:r>
      <w:r w:rsidRPr="00AB5E44">
        <w:rPr>
          <w:rFonts w:ascii="Times New Roman" w:hAnsi="Times New Roman" w:cs="Times New Roman"/>
          <w:lang w:val="pl-PL"/>
        </w:rPr>
        <w:t>:</w:t>
      </w:r>
    </w:p>
    <w:p w14:paraId="0C0F2A31"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nakłada na Wykonawcę pełną odpowiedzialność za działania Podwykonawców, przy jednoczesnym braku adekwatnych mechanizmów ochronnych w relacji z Zamawiającym, co narusza art. 433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3CD26388"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Inżynier Kontraktu jest obciążony odpowiedzialnością za wszystkie działania i zaniechania Podwykonawców, bez możliwości ograniczenia tej odpowiedzialności. Jednocześnie umowa nie przewiduje proporcjonalnych mechanizmów ochronnych dla Wykonawcy w przypadku, gdy opóźnienie wynika z działań Zamawiającego. Ta asymetria odpowiedzialności narusza zasadę proporcjonalności i równego traktowania stron.</w:t>
      </w:r>
    </w:p>
    <w:p w14:paraId="6E41280D"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 xml:space="preserve">3. Naruszenie art. 439 </w:t>
      </w:r>
      <w:proofErr w:type="spellStart"/>
      <w:r w:rsidRPr="00AB5E44">
        <w:rPr>
          <w:rFonts w:ascii="Times New Roman" w:hAnsi="Times New Roman" w:cs="Times New Roman"/>
          <w:b/>
          <w:bCs/>
          <w:lang w:val="pl-PL"/>
        </w:rPr>
        <w:t>uPZP</w:t>
      </w:r>
      <w:proofErr w:type="spellEnd"/>
      <w:r w:rsidRPr="00AB5E44">
        <w:rPr>
          <w:rFonts w:ascii="Times New Roman" w:hAnsi="Times New Roman" w:cs="Times New Roman"/>
          <w:b/>
          <w:bCs/>
          <w:lang w:val="pl-PL"/>
        </w:rPr>
        <w:t xml:space="preserve"> - Klauzule waloryzacyjne</w:t>
      </w:r>
    </w:p>
    <w:p w14:paraId="54AA7E25"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Zamawiający naruszył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poprzez sformułowanie nieadekwatnych mechanizmów waloryzacji wynagrodzenia:</w:t>
      </w:r>
    </w:p>
    <w:p w14:paraId="2BB6425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 </w:t>
      </w:r>
      <w:r w:rsidRPr="00AB5E44">
        <w:rPr>
          <w:rFonts w:ascii="Times New Roman" w:hAnsi="Times New Roman" w:cs="Times New Roman"/>
          <w:b/>
          <w:bCs/>
          <w:lang w:val="pl-PL"/>
        </w:rPr>
        <w:t>Ograniczenie waloryzacji do 15% przy przewidywanym dłuższym okresie realizacji (C1)</w:t>
      </w:r>
      <w:r w:rsidRPr="00AB5E44">
        <w:rPr>
          <w:rFonts w:ascii="Times New Roman" w:hAnsi="Times New Roman" w:cs="Times New Roman"/>
          <w:lang w:val="pl-PL"/>
        </w:rPr>
        <w:t>:</w:t>
      </w:r>
    </w:p>
    <w:p w14:paraId="0A1C930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zawiera zapis ograniczający waloryzację wynagrodzenia do maksymalnie 15% (pkt 11.5 Umowy), co w kontekście długiego okresu realizacji i obecnych warunków ekonomicznych stanowi naruszenie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054016B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o świadczenie usług inżyniera kontraktu dla projektu budowy korytarzy transportowych w CPK zakłada długi okres realizacji, potencjalnie przekraczający standardowy okres 12 miesięcy </w:t>
      </w:r>
      <w:r w:rsidRPr="00AB5E44">
        <w:rPr>
          <w:rFonts w:ascii="Times New Roman" w:hAnsi="Times New Roman" w:cs="Times New Roman"/>
          <w:lang w:val="pl-PL"/>
        </w:rPr>
        <w:lastRenderedPageBreak/>
        <w:t xml:space="preserve">wskazany w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Z analizy umowy wynika, że okres ten może zostać dodatkowo wydłużony przez różne czynniki, w tym:</w:t>
      </w:r>
    </w:p>
    <w:p w14:paraId="06B4D276" w14:textId="77777777" w:rsidR="00AB5E44" w:rsidRPr="00AB5E44" w:rsidRDefault="00AB5E44" w:rsidP="00AB5E44">
      <w:pPr>
        <w:numPr>
          <w:ilvl w:val="0"/>
          <w:numId w:val="6"/>
        </w:numPr>
        <w:spacing w:line="276" w:lineRule="auto"/>
        <w:jc w:val="both"/>
        <w:rPr>
          <w:rFonts w:ascii="Times New Roman" w:hAnsi="Times New Roman" w:cs="Times New Roman"/>
          <w:lang w:val="pl-PL"/>
        </w:rPr>
      </w:pPr>
      <w:r w:rsidRPr="00AB5E44">
        <w:rPr>
          <w:rFonts w:ascii="Times New Roman" w:hAnsi="Times New Roman" w:cs="Times New Roman"/>
          <w:lang w:val="pl-PL"/>
        </w:rPr>
        <w:t>Zastosowanie prawa opcji (Prawo Opcji 1, Prawo Opcji 3)</w:t>
      </w:r>
    </w:p>
    <w:p w14:paraId="61FABA21" w14:textId="77777777" w:rsidR="00AB5E44" w:rsidRPr="00AB5E44" w:rsidRDefault="00AB5E44" w:rsidP="00AB5E44">
      <w:pPr>
        <w:numPr>
          <w:ilvl w:val="0"/>
          <w:numId w:val="6"/>
        </w:numPr>
        <w:spacing w:line="276" w:lineRule="auto"/>
        <w:jc w:val="both"/>
        <w:rPr>
          <w:rFonts w:ascii="Times New Roman" w:hAnsi="Times New Roman" w:cs="Times New Roman"/>
          <w:lang w:val="pl-PL"/>
        </w:rPr>
      </w:pPr>
      <w:r w:rsidRPr="00AB5E44">
        <w:rPr>
          <w:rFonts w:ascii="Times New Roman" w:hAnsi="Times New Roman" w:cs="Times New Roman"/>
          <w:lang w:val="pl-PL"/>
        </w:rPr>
        <w:t>Przedłużenie realizacji robót budowlanych</w:t>
      </w:r>
    </w:p>
    <w:p w14:paraId="6AC365D8" w14:textId="77777777" w:rsidR="00AB5E44" w:rsidRPr="00AB5E44" w:rsidRDefault="00AB5E44" w:rsidP="00AB5E44">
      <w:pPr>
        <w:numPr>
          <w:ilvl w:val="0"/>
          <w:numId w:val="6"/>
        </w:numPr>
        <w:spacing w:line="276" w:lineRule="auto"/>
        <w:jc w:val="both"/>
        <w:rPr>
          <w:rFonts w:ascii="Times New Roman" w:hAnsi="Times New Roman" w:cs="Times New Roman"/>
          <w:lang w:val="pl-PL"/>
        </w:rPr>
      </w:pPr>
      <w:r w:rsidRPr="00AB5E44">
        <w:rPr>
          <w:rFonts w:ascii="Times New Roman" w:hAnsi="Times New Roman" w:cs="Times New Roman"/>
          <w:lang w:val="pl-PL"/>
        </w:rPr>
        <w:t>Procedury odbiorowe i gwarancyjne</w:t>
      </w:r>
    </w:p>
    <w:p w14:paraId="6526F1D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Obecna sytuacja gospodarcza charakteryzuje się podwyższoną inflacją i nieprzewidywalnością cen. Dane GUS wskazują, że roczna inflacja w ostatnich latach znacząco przekraczała poziom 5%, a skumulowana inflacja w okresie 3-4 lat mogła przekroczyć 15%. Ograniczenie waloryzacji do 15% oznacza, że Wykonawca ponosi pełne ryzyko ekonomiczne powyżej tego progu.</w:t>
      </w:r>
    </w:p>
    <w:p w14:paraId="2218FEA1"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b) </w:t>
      </w:r>
      <w:r w:rsidRPr="00AB5E44">
        <w:rPr>
          <w:rFonts w:ascii="Times New Roman" w:hAnsi="Times New Roman" w:cs="Times New Roman"/>
          <w:b/>
          <w:bCs/>
          <w:lang w:val="pl-PL"/>
        </w:rPr>
        <w:t>Waloryzacja tylko części wynagrodzenia (C2)</w:t>
      </w:r>
      <w:r w:rsidRPr="00AB5E44">
        <w:rPr>
          <w:rFonts w:ascii="Times New Roman" w:hAnsi="Times New Roman" w:cs="Times New Roman"/>
          <w:lang w:val="pl-PL"/>
        </w:rPr>
        <w:t>:</w:t>
      </w:r>
    </w:p>
    <w:p w14:paraId="33ED367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Zgodnie z pkt 11.1 Umowy, waloryzacji podlega tylko część wynagrodzenia (miesięczne wynagrodzenie ryczałtowe za realizację określonych zadań), co zmniejsza faktyczną ochronę przed ryzykiem inflacyjnym i narusza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2E4E3943"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Konstrukcja umowy przewiduje, że waloryzacji podlega jedynie:</w:t>
      </w:r>
    </w:p>
    <w:p w14:paraId="09F77943" w14:textId="77777777" w:rsidR="00AB5E44" w:rsidRPr="00AB5E44" w:rsidRDefault="00AB5E44" w:rsidP="00AB5E44">
      <w:pPr>
        <w:numPr>
          <w:ilvl w:val="0"/>
          <w:numId w:val="7"/>
        </w:numPr>
        <w:spacing w:line="276" w:lineRule="auto"/>
        <w:jc w:val="both"/>
        <w:rPr>
          <w:rFonts w:ascii="Times New Roman" w:hAnsi="Times New Roman" w:cs="Times New Roman"/>
          <w:lang w:val="pl-PL"/>
        </w:rPr>
      </w:pPr>
      <w:r w:rsidRPr="00AB5E44">
        <w:rPr>
          <w:rFonts w:ascii="Times New Roman" w:hAnsi="Times New Roman" w:cs="Times New Roman"/>
          <w:lang w:val="pl-PL"/>
        </w:rPr>
        <w:t>miesięczne wynagrodzenie ryczałtowe za realizację Zadań z grupy Zadań 1, 2, 3 i 4 (</w:t>
      </w:r>
      <w:proofErr w:type="spellStart"/>
      <w:r w:rsidRPr="00AB5E44">
        <w:rPr>
          <w:rFonts w:ascii="Times New Roman" w:hAnsi="Times New Roman" w:cs="Times New Roman"/>
          <w:lang w:val="pl-PL"/>
        </w:rPr>
        <w:t>Wrm</w:t>
      </w:r>
      <w:proofErr w:type="spellEnd"/>
      <w:r w:rsidRPr="00AB5E44">
        <w:rPr>
          <w:rFonts w:ascii="Times New Roman" w:hAnsi="Times New Roman" w:cs="Times New Roman"/>
          <w:lang w:val="pl-PL"/>
        </w:rPr>
        <w:t>)</w:t>
      </w:r>
    </w:p>
    <w:p w14:paraId="75F3C279" w14:textId="77777777" w:rsidR="00AB5E44" w:rsidRPr="00AB5E44" w:rsidRDefault="00AB5E44" w:rsidP="00AB5E44">
      <w:pPr>
        <w:numPr>
          <w:ilvl w:val="0"/>
          <w:numId w:val="7"/>
        </w:numPr>
        <w:spacing w:line="276" w:lineRule="auto"/>
        <w:jc w:val="both"/>
        <w:rPr>
          <w:rFonts w:ascii="Times New Roman" w:hAnsi="Times New Roman" w:cs="Times New Roman"/>
          <w:lang w:val="pl-PL"/>
        </w:rPr>
      </w:pPr>
      <w:r w:rsidRPr="00AB5E44">
        <w:rPr>
          <w:rFonts w:ascii="Times New Roman" w:hAnsi="Times New Roman" w:cs="Times New Roman"/>
          <w:lang w:val="pl-PL"/>
        </w:rPr>
        <w:t>miesięczne wynagrodzenie ryczałtowe za realizację Zadania w Okresie Wydłużonym (</w:t>
      </w:r>
      <w:proofErr w:type="spellStart"/>
      <w:r w:rsidRPr="00AB5E44">
        <w:rPr>
          <w:rFonts w:ascii="Times New Roman" w:hAnsi="Times New Roman" w:cs="Times New Roman"/>
          <w:lang w:val="pl-PL"/>
        </w:rPr>
        <w:t>Wdrm</w:t>
      </w:r>
      <w:proofErr w:type="spellEnd"/>
      <w:r w:rsidRPr="00AB5E44">
        <w:rPr>
          <w:rFonts w:ascii="Times New Roman" w:hAnsi="Times New Roman" w:cs="Times New Roman"/>
          <w:lang w:val="pl-PL"/>
        </w:rPr>
        <w:t>)</w:t>
      </w:r>
    </w:p>
    <w:p w14:paraId="23789292" w14:textId="77777777" w:rsidR="00AB5E44" w:rsidRPr="00AB5E44" w:rsidRDefault="00AB5E44" w:rsidP="00AB5E44">
      <w:pPr>
        <w:numPr>
          <w:ilvl w:val="0"/>
          <w:numId w:val="7"/>
        </w:numPr>
        <w:spacing w:line="276" w:lineRule="auto"/>
        <w:jc w:val="both"/>
        <w:rPr>
          <w:rFonts w:ascii="Times New Roman" w:hAnsi="Times New Roman" w:cs="Times New Roman"/>
          <w:lang w:val="pl-PL"/>
        </w:rPr>
      </w:pPr>
      <w:r w:rsidRPr="00AB5E44">
        <w:rPr>
          <w:rFonts w:ascii="Times New Roman" w:hAnsi="Times New Roman" w:cs="Times New Roman"/>
          <w:lang w:val="pl-PL"/>
        </w:rPr>
        <w:t>inne składniki wymienione w pkt 11.1 Umowy</w:t>
      </w:r>
    </w:p>
    <w:p w14:paraId="639BB331"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Część kosztów ponoszonych przez Wykonawcę nie podlega waloryzacji, mimo że również podlegają wpływom inflacyjnym. Dotyczy to np.:</w:t>
      </w:r>
    </w:p>
    <w:p w14:paraId="67365BEE" w14:textId="77777777" w:rsidR="00AB5E44" w:rsidRPr="00AB5E44" w:rsidRDefault="00AB5E44" w:rsidP="00AB5E44">
      <w:pPr>
        <w:numPr>
          <w:ilvl w:val="0"/>
          <w:numId w:val="8"/>
        </w:numPr>
        <w:spacing w:line="276" w:lineRule="auto"/>
        <w:jc w:val="both"/>
        <w:rPr>
          <w:rFonts w:ascii="Times New Roman" w:hAnsi="Times New Roman" w:cs="Times New Roman"/>
          <w:lang w:val="pl-PL"/>
        </w:rPr>
      </w:pPr>
      <w:r w:rsidRPr="00AB5E44">
        <w:rPr>
          <w:rFonts w:ascii="Times New Roman" w:hAnsi="Times New Roman" w:cs="Times New Roman"/>
          <w:lang w:val="pl-PL"/>
        </w:rPr>
        <w:t>Kosztów jednorazowych związanych z mobilizacją i demobilizacją</w:t>
      </w:r>
    </w:p>
    <w:p w14:paraId="2B71A057" w14:textId="77777777" w:rsidR="00AB5E44" w:rsidRPr="00AB5E44" w:rsidRDefault="00AB5E44" w:rsidP="00AB5E44">
      <w:pPr>
        <w:numPr>
          <w:ilvl w:val="0"/>
          <w:numId w:val="8"/>
        </w:numPr>
        <w:spacing w:line="276" w:lineRule="auto"/>
        <w:jc w:val="both"/>
        <w:rPr>
          <w:rFonts w:ascii="Times New Roman" w:hAnsi="Times New Roman" w:cs="Times New Roman"/>
          <w:lang w:val="pl-PL"/>
        </w:rPr>
      </w:pPr>
      <w:r w:rsidRPr="00AB5E44">
        <w:rPr>
          <w:rFonts w:ascii="Times New Roman" w:hAnsi="Times New Roman" w:cs="Times New Roman"/>
          <w:lang w:val="pl-PL"/>
        </w:rPr>
        <w:t>Niektórych kosztów związanych z zaangażowaniem ekspertów niepodlegających miesięcznym rozliczeniom ryczałtowym</w:t>
      </w:r>
    </w:p>
    <w:p w14:paraId="4120EC24" w14:textId="77777777" w:rsidR="00AB5E44" w:rsidRPr="00AB5E44" w:rsidRDefault="00AB5E44" w:rsidP="00AB5E44">
      <w:pPr>
        <w:numPr>
          <w:ilvl w:val="0"/>
          <w:numId w:val="8"/>
        </w:numPr>
        <w:spacing w:line="276" w:lineRule="auto"/>
        <w:jc w:val="both"/>
        <w:rPr>
          <w:rFonts w:ascii="Times New Roman" w:hAnsi="Times New Roman" w:cs="Times New Roman"/>
          <w:lang w:val="pl-PL"/>
        </w:rPr>
      </w:pPr>
      <w:r w:rsidRPr="00AB5E44">
        <w:rPr>
          <w:rFonts w:ascii="Times New Roman" w:hAnsi="Times New Roman" w:cs="Times New Roman"/>
          <w:lang w:val="pl-PL"/>
        </w:rPr>
        <w:t>Kosztów administracyjnych i ogólnozakładowych</w:t>
      </w:r>
    </w:p>
    <w:p w14:paraId="2710064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c) </w:t>
      </w:r>
      <w:r w:rsidRPr="00AB5E44">
        <w:rPr>
          <w:rFonts w:ascii="Times New Roman" w:hAnsi="Times New Roman" w:cs="Times New Roman"/>
          <w:b/>
          <w:bCs/>
          <w:lang w:val="pl-PL"/>
        </w:rPr>
        <w:t>Brak precyzyjnego określenia momentu rozpoczęcia waloryzacji (C4)</w:t>
      </w:r>
      <w:r w:rsidRPr="00AB5E44">
        <w:rPr>
          <w:rFonts w:ascii="Times New Roman" w:hAnsi="Times New Roman" w:cs="Times New Roman"/>
          <w:lang w:val="pl-PL"/>
        </w:rPr>
        <w:t>:</w:t>
      </w:r>
    </w:p>
    <w:p w14:paraId="2CCEC763"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nie określa precyzyjnie momentu rozpoczęcia waloryzacji (daty bazowej odniesienia), co narusza wymóg art. 439 ust. 2 pkt 1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13C3EDC5"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Art. 439 ust. 2 pkt 1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wymaga określenia "początkowego terminu ustalenia zmiany wynagrodzenia", tymczasem w umowie brak jest jednoznacznego wskazania, czy momentem bazowym do obliczania waloryzacji jest:</w:t>
      </w:r>
    </w:p>
    <w:p w14:paraId="5E855902" w14:textId="77777777" w:rsidR="00AB5E44" w:rsidRPr="00AB5E44" w:rsidRDefault="00AB5E44" w:rsidP="00AB5E44">
      <w:pPr>
        <w:numPr>
          <w:ilvl w:val="0"/>
          <w:numId w:val="9"/>
        </w:numPr>
        <w:spacing w:line="276" w:lineRule="auto"/>
        <w:jc w:val="both"/>
        <w:rPr>
          <w:rFonts w:ascii="Times New Roman" w:hAnsi="Times New Roman" w:cs="Times New Roman"/>
          <w:lang w:val="pl-PL"/>
        </w:rPr>
      </w:pPr>
      <w:r w:rsidRPr="00AB5E44">
        <w:rPr>
          <w:rFonts w:ascii="Times New Roman" w:hAnsi="Times New Roman" w:cs="Times New Roman"/>
          <w:lang w:val="pl-PL"/>
        </w:rPr>
        <w:t>Data złożenia oferty</w:t>
      </w:r>
    </w:p>
    <w:p w14:paraId="3CB495A4" w14:textId="77777777" w:rsidR="00AB5E44" w:rsidRPr="00AB5E44" w:rsidRDefault="00AB5E44" w:rsidP="00AB5E44">
      <w:pPr>
        <w:numPr>
          <w:ilvl w:val="0"/>
          <w:numId w:val="9"/>
        </w:num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Data zawarcia umowy</w:t>
      </w:r>
    </w:p>
    <w:p w14:paraId="76DD8E57" w14:textId="77777777" w:rsidR="00AB5E44" w:rsidRPr="00AB5E44" w:rsidRDefault="00AB5E44" w:rsidP="00AB5E44">
      <w:pPr>
        <w:numPr>
          <w:ilvl w:val="0"/>
          <w:numId w:val="9"/>
        </w:numPr>
        <w:spacing w:line="276" w:lineRule="auto"/>
        <w:jc w:val="both"/>
        <w:rPr>
          <w:rFonts w:ascii="Times New Roman" w:hAnsi="Times New Roman" w:cs="Times New Roman"/>
          <w:lang w:val="pl-PL"/>
        </w:rPr>
      </w:pPr>
      <w:r w:rsidRPr="00AB5E44">
        <w:rPr>
          <w:rFonts w:ascii="Times New Roman" w:hAnsi="Times New Roman" w:cs="Times New Roman"/>
          <w:lang w:val="pl-PL"/>
        </w:rPr>
        <w:t>Data rozpoczęcia świadczenia usług</w:t>
      </w:r>
    </w:p>
    <w:p w14:paraId="2CAA90AC" w14:textId="77777777" w:rsidR="00AB5E44" w:rsidRPr="00AB5E44" w:rsidRDefault="00AB5E44" w:rsidP="00AB5E44">
      <w:pPr>
        <w:numPr>
          <w:ilvl w:val="0"/>
          <w:numId w:val="9"/>
        </w:numPr>
        <w:spacing w:line="276" w:lineRule="auto"/>
        <w:jc w:val="both"/>
        <w:rPr>
          <w:rFonts w:ascii="Times New Roman" w:hAnsi="Times New Roman" w:cs="Times New Roman"/>
          <w:lang w:val="pl-PL"/>
        </w:rPr>
      </w:pPr>
      <w:r w:rsidRPr="00AB5E44">
        <w:rPr>
          <w:rFonts w:ascii="Times New Roman" w:hAnsi="Times New Roman" w:cs="Times New Roman"/>
          <w:lang w:val="pl-PL"/>
        </w:rPr>
        <w:t>Inna data</w:t>
      </w:r>
    </w:p>
    <w:p w14:paraId="267CF41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d) </w:t>
      </w:r>
      <w:r w:rsidRPr="00AB5E44">
        <w:rPr>
          <w:rFonts w:ascii="Times New Roman" w:hAnsi="Times New Roman" w:cs="Times New Roman"/>
          <w:b/>
          <w:bCs/>
          <w:lang w:val="pl-PL"/>
        </w:rPr>
        <w:t>Brak klauzul uwzględniających nagłe zmiany kosztów (C5)</w:t>
      </w:r>
      <w:r w:rsidRPr="00AB5E44">
        <w:rPr>
          <w:rFonts w:ascii="Times New Roman" w:hAnsi="Times New Roman" w:cs="Times New Roman"/>
          <w:lang w:val="pl-PL"/>
        </w:rPr>
        <w:t>:</w:t>
      </w:r>
    </w:p>
    <w:p w14:paraId="22AC2B5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nie zawiera mechanizmów waloryzacyjnych uwzględniających nagłe, nieprzewidywalne zmiany kosztów materiałów lub robocizny, co w kontekście długoterminowego charakteru umowy narusza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42083393"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opiera waloryzację głównie na wskaźnikach publikowanych przez GUS, które:</w:t>
      </w:r>
    </w:p>
    <w:p w14:paraId="4FAF6F5C" w14:textId="77777777" w:rsidR="00AB5E44" w:rsidRPr="00AB5E44" w:rsidRDefault="00AB5E44" w:rsidP="00AB5E44">
      <w:pPr>
        <w:numPr>
          <w:ilvl w:val="0"/>
          <w:numId w:val="10"/>
        </w:numPr>
        <w:spacing w:line="276" w:lineRule="auto"/>
        <w:jc w:val="both"/>
        <w:rPr>
          <w:rFonts w:ascii="Times New Roman" w:hAnsi="Times New Roman" w:cs="Times New Roman"/>
          <w:lang w:val="pl-PL"/>
        </w:rPr>
      </w:pPr>
      <w:r w:rsidRPr="00AB5E44">
        <w:rPr>
          <w:rFonts w:ascii="Times New Roman" w:hAnsi="Times New Roman" w:cs="Times New Roman"/>
          <w:lang w:val="pl-PL"/>
        </w:rPr>
        <w:t>Są publikowane z opóźnieniem</w:t>
      </w:r>
    </w:p>
    <w:p w14:paraId="184FF7E9" w14:textId="77777777" w:rsidR="00AB5E44" w:rsidRPr="00AB5E44" w:rsidRDefault="00AB5E44" w:rsidP="00AB5E44">
      <w:pPr>
        <w:numPr>
          <w:ilvl w:val="0"/>
          <w:numId w:val="10"/>
        </w:numPr>
        <w:spacing w:line="276" w:lineRule="auto"/>
        <w:jc w:val="both"/>
        <w:rPr>
          <w:rFonts w:ascii="Times New Roman" w:hAnsi="Times New Roman" w:cs="Times New Roman"/>
          <w:lang w:val="pl-PL"/>
        </w:rPr>
      </w:pPr>
      <w:r w:rsidRPr="00AB5E44">
        <w:rPr>
          <w:rFonts w:ascii="Times New Roman" w:hAnsi="Times New Roman" w:cs="Times New Roman"/>
          <w:lang w:val="pl-PL"/>
        </w:rPr>
        <w:t>Stanowią uśrednione wartości, które mogą nie odzwierciedlać specyficznych wzrostów kosztów w określonych sektorach</w:t>
      </w:r>
    </w:p>
    <w:p w14:paraId="4EE6772A" w14:textId="77777777" w:rsidR="00AB5E44" w:rsidRPr="00AB5E44" w:rsidRDefault="00AB5E44" w:rsidP="00AB5E44">
      <w:pPr>
        <w:numPr>
          <w:ilvl w:val="0"/>
          <w:numId w:val="10"/>
        </w:numPr>
        <w:spacing w:line="276" w:lineRule="auto"/>
        <w:jc w:val="both"/>
        <w:rPr>
          <w:rFonts w:ascii="Times New Roman" w:hAnsi="Times New Roman" w:cs="Times New Roman"/>
          <w:lang w:val="pl-PL"/>
        </w:rPr>
      </w:pPr>
      <w:r w:rsidRPr="00AB5E44">
        <w:rPr>
          <w:rFonts w:ascii="Times New Roman" w:hAnsi="Times New Roman" w:cs="Times New Roman"/>
          <w:lang w:val="pl-PL"/>
        </w:rPr>
        <w:t>Nie uwzględniają nagłych skoków cenowych spowodowanych np. kryzysami gospodarczymi, przerwaniem łańcuchów dostaw czy konfliktami zbrojnymi</w:t>
      </w:r>
    </w:p>
    <w:p w14:paraId="7A76781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e) </w:t>
      </w:r>
      <w:r w:rsidRPr="00AB5E44">
        <w:rPr>
          <w:rFonts w:ascii="Times New Roman" w:hAnsi="Times New Roman" w:cs="Times New Roman"/>
          <w:b/>
          <w:bCs/>
          <w:lang w:val="pl-PL"/>
        </w:rPr>
        <w:t>Procedura zmiany umowy w zakresie waloryzacji wymaga inicjacji i uzasadnienia (C3)</w:t>
      </w:r>
      <w:r w:rsidRPr="00AB5E44">
        <w:rPr>
          <w:rFonts w:ascii="Times New Roman" w:hAnsi="Times New Roman" w:cs="Times New Roman"/>
          <w:lang w:val="pl-PL"/>
        </w:rPr>
        <w:t>:</w:t>
      </w:r>
    </w:p>
    <w:p w14:paraId="2DE9475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Procedura zmiany umowy w zakresie waloryzacji określona w pkt 26 Umowy wprowadza dodatkowe wymogi proceduralne, które mogą utrudniać skuteczne stosowanie mechanizmów waloryzacyjnych, co jest sprzeczne z duchem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6963D2AA"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Zgodnie z pkt 26.4 Umowy, wniosek o zainicjowanie procedury zmiany Umowy wymaga:</w:t>
      </w:r>
    </w:p>
    <w:p w14:paraId="3595A4B7" w14:textId="77777777" w:rsidR="00AB5E44" w:rsidRPr="00AB5E44" w:rsidRDefault="00AB5E44" w:rsidP="00AB5E44">
      <w:pPr>
        <w:numPr>
          <w:ilvl w:val="0"/>
          <w:numId w:val="11"/>
        </w:numPr>
        <w:spacing w:line="276" w:lineRule="auto"/>
        <w:jc w:val="both"/>
        <w:rPr>
          <w:rFonts w:ascii="Times New Roman" w:hAnsi="Times New Roman" w:cs="Times New Roman"/>
          <w:lang w:val="pl-PL"/>
        </w:rPr>
      </w:pPr>
      <w:r w:rsidRPr="00AB5E44">
        <w:rPr>
          <w:rFonts w:ascii="Times New Roman" w:hAnsi="Times New Roman" w:cs="Times New Roman"/>
          <w:lang w:val="pl-PL"/>
        </w:rPr>
        <w:t>Szczegółowego opisu planowanej zmiany</w:t>
      </w:r>
    </w:p>
    <w:p w14:paraId="48DCDBF8" w14:textId="77777777" w:rsidR="00AB5E44" w:rsidRPr="00AB5E44" w:rsidRDefault="00AB5E44" w:rsidP="00AB5E44">
      <w:pPr>
        <w:numPr>
          <w:ilvl w:val="0"/>
          <w:numId w:val="11"/>
        </w:numPr>
        <w:spacing w:line="276" w:lineRule="auto"/>
        <w:jc w:val="both"/>
        <w:rPr>
          <w:rFonts w:ascii="Times New Roman" w:hAnsi="Times New Roman" w:cs="Times New Roman"/>
          <w:lang w:val="pl-PL"/>
        </w:rPr>
      </w:pPr>
      <w:r w:rsidRPr="00AB5E44">
        <w:rPr>
          <w:rFonts w:ascii="Times New Roman" w:hAnsi="Times New Roman" w:cs="Times New Roman"/>
          <w:lang w:val="pl-PL"/>
        </w:rPr>
        <w:t>Wykazania zasadności (biznesowej, technicznej, technologicznej, organizacyjnej itp.)</w:t>
      </w:r>
    </w:p>
    <w:p w14:paraId="5BEF8A9D" w14:textId="77777777" w:rsidR="00AB5E44" w:rsidRPr="00AB5E44" w:rsidRDefault="00AB5E44" w:rsidP="00AB5E44">
      <w:pPr>
        <w:numPr>
          <w:ilvl w:val="0"/>
          <w:numId w:val="11"/>
        </w:numPr>
        <w:spacing w:line="276" w:lineRule="auto"/>
        <w:jc w:val="both"/>
        <w:rPr>
          <w:rFonts w:ascii="Times New Roman" w:hAnsi="Times New Roman" w:cs="Times New Roman"/>
          <w:lang w:val="pl-PL"/>
        </w:rPr>
      </w:pPr>
      <w:r w:rsidRPr="00AB5E44">
        <w:rPr>
          <w:rFonts w:ascii="Times New Roman" w:hAnsi="Times New Roman" w:cs="Times New Roman"/>
          <w:lang w:val="pl-PL"/>
        </w:rPr>
        <w:t>Wskazania podstawy prawnej</w:t>
      </w:r>
    </w:p>
    <w:p w14:paraId="0FA59ADB" w14:textId="77777777" w:rsidR="00AB5E44" w:rsidRPr="00AB5E44" w:rsidRDefault="00AB5E44" w:rsidP="00AB5E44">
      <w:pPr>
        <w:numPr>
          <w:ilvl w:val="0"/>
          <w:numId w:val="11"/>
        </w:numPr>
        <w:spacing w:line="276" w:lineRule="auto"/>
        <w:jc w:val="both"/>
        <w:rPr>
          <w:rFonts w:ascii="Times New Roman" w:hAnsi="Times New Roman" w:cs="Times New Roman"/>
          <w:lang w:val="pl-PL"/>
        </w:rPr>
      </w:pPr>
      <w:r w:rsidRPr="00AB5E44">
        <w:rPr>
          <w:rFonts w:ascii="Times New Roman" w:hAnsi="Times New Roman" w:cs="Times New Roman"/>
          <w:lang w:val="pl-PL"/>
        </w:rPr>
        <w:t>Szczegółowego uzasadnienia jej zastosowania</w:t>
      </w:r>
    </w:p>
    <w:p w14:paraId="5F3273A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Złożona procedura wnioskowania o zmianę może prowadzić do opóźnień w dostosowaniu wynagrodzenia do zmieniających się warunków rynkowych, co jest sprzeczne z celem art. 439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którym jest zapewnienie bieżącego dostosowania wynagrodzenia do zmieniających się kosztów.</w:t>
      </w:r>
    </w:p>
    <w:p w14:paraId="2D8C0BC3"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 xml:space="preserve">4. Naruszenie art. 436 pkt 3 </w:t>
      </w:r>
      <w:proofErr w:type="spellStart"/>
      <w:r w:rsidRPr="00AB5E44">
        <w:rPr>
          <w:rFonts w:ascii="Times New Roman" w:hAnsi="Times New Roman" w:cs="Times New Roman"/>
          <w:b/>
          <w:bCs/>
          <w:lang w:val="pl-PL"/>
        </w:rPr>
        <w:t>uPZP</w:t>
      </w:r>
      <w:proofErr w:type="spellEnd"/>
      <w:r w:rsidRPr="00AB5E44">
        <w:rPr>
          <w:rFonts w:ascii="Times New Roman" w:hAnsi="Times New Roman" w:cs="Times New Roman"/>
          <w:b/>
          <w:bCs/>
          <w:lang w:val="pl-PL"/>
        </w:rPr>
        <w:t xml:space="preserve"> - Kary umowne</w:t>
      </w:r>
    </w:p>
    <w:p w14:paraId="70AC0AD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Zamawiający naruszył art. 436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poprzez ustanowienie kar umownych z naruszeniem zasady proporcjonalności:</w:t>
      </w:r>
    </w:p>
    <w:p w14:paraId="13297DA8"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a) </w:t>
      </w:r>
      <w:r w:rsidRPr="00AB5E44">
        <w:rPr>
          <w:rFonts w:ascii="Times New Roman" w:hAnsi="Times New Roman" w:cs="Times New Roman"/>
          <w:b/>
          <w:bCs/>
          <w:lang w:val="pl-PL"/>
        </w:rPr>
        <w:t>Wysokie kary za naruszenia dotyczące poufności lub sprzeczności interesów (do 500 000 PLN) (K5)</w:t>
      </w:r>
      <w:r w:rsidRPr="00AB5E44">
        <w:rPr>
          <w:rFonts w:ascii="Times New Roman" w:hAnsi="Times New Roman" w:cs="Times New Roman"/>
          <w:lang w:val="pl-PL"/>
        </w:rPr>
        <w:t>:</w:t>
      </w:r>
    </w:p>
    <w:p w14:paraId="39C64084"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Umowa przewiduje nieproporcjonalnie wysokie kary umowne za naruszenia dotyczące poufności lub sprzeczności interesów, sięgające nawet 500 000 PLN, przy jednoczesnym nieprecyzyjnym określeniu zakresu tych naruszeń.</w:t>
      </w:r>
    </w:p>
    <w:p w14:paraId="05A5E16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Kara w wysokości 500 000 PLN za naruszenie obowiązków dotyczących poufności informacji jest nieproporcjonalnie wysoka w stosunku do innych kar przewidzianych w umowie oraz do wagi potencjalnego naruszenia. Dla porównania, kara za naruszenie przepisów BHP wynosi 1 000 PLN, a więc jest 500-krotnie niższa.</w:t>
      </w:r>
    </w:p>
    <w:p w14:paraId="47C59B1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zgodnie z pkt 29 Umowy, definiuje szeroki zakres wymogów dotyczących poufności informacji, jednak nie precyzuje jasno, jakie konkretne działania lub zaniechania będą uznane za naruszenie podlegające maksymalnej karze. Ta nieprecyzyjność stwarza ryzyko arbitralnej interpretacji przez Zamawiającego.</w:t>
      </w:r>
    </w:p>
    <w:p w14:paraId="02DAA2D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b) </w:t>
      </w:r>
      <w:r w:rsidRPr="00AB5E44">
        <w:rPr>
          <w:rFonts w:ascii="Times New Roman" w:hAnsi="Times New Roman" w:cs="Times New Roman"/>
          <w:b/>
          <w:bCs/>
          <w:lang w:val="pl-PL"/>
        </w:rPr>
        <w:t>Możliwość naliczania wielu kar równocześnie (K4)</w:t>
      </w:r>
      <w:r w:rsidRPr="00AB5E44">
        <w:rPr>
          <w:rFonts w:ascii="Times New Roman" w:hAnsi="Times New Roman" w:cs="Times New Roman"/>
          <w:lang w:val="pl-PL"/>
        </w:rPr>
        <w:t>:</w:t>
      </w:r>
    </w:p>
    <w:p w14:paraId="18A4AB8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przewiduje możliwość równoczesnego naliczania wielu kar za różne naruszenia, co może prowadzić do nieproporcjonalnie wysokiego obciążenia finansowego Wykonawcy.</w:t>
      </w:r>
    </w:p>
    <w:p w14:paraId="00561D97"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umożliwia naliczanie wielu kar jednocześnie za różne naruszenia, które mogą być ze sobą powiązane lub wynikać z tej samej przyczyny. Przykładowo, opóźnienie w realizacji kamienia milowego może jednocześnie skutkować karami za:</w:t>
      </w:r>
    </w:p>
    <w:p w14:paraId="02B9DA6A" w14:textId="77777777" w:rsidR="00AB5E44" w:rsidRPr="00AB5E44" w:rsidRDefault="00AB5E44" w:rsidP="00AB5E44">
      <w:pPr>
        <w:numPr>
          <w:ilvl w:val="0"/>
          <w:numId w:val="12"/>
        </w:numPr>
        <w:spacing w:line="276" w:lineRule="auto"/>
        <w:jc w:val="both"/>
        <w:rPr>
          <w:rFonts w:ascii="Times New Roman" w:hAnsi="Times New Roman" w:cs="Times New Roman"/>
          <w:lang w:val="pl-PL"/>
        </w:rPr>
      </w:pPr>
      <w:r w:rsidRPr="00AB5E44">
        <w:rPr>
          <w:rFonts w:ascii="Times New Roman" w:hAnsi="Times New Roman" w:cs="Times New Roman"/>
          <w:lang w:val="pl-PL"/>
        </w:rPr>
        <w:t>Opóźnienie w realizacji kamienia milowego</w:t>
      </w:r>
    </w:p>
    <w:p w14:paraId="2EFCBC99" w14:textId="77777777" w:rsidR="00AB5E44" w:rsidRPr="00AB5E44" w:rsidRDefault="00AB5E44" w:rsidP="00AB5E44">
      <w:pPr>
        <w:numPr>
          <w:ilvl w:val="0"/>
          <w:numId w:val="12"/>
        </w:numPr>
        <w:spacing w:line="276" w:lineRule="auto"/>
        <w:jc w:val="both"/>
        <w:rPr>
          <w:rFonts w:ascii="Times New Roman" w:hAnsi="Times New Roman" w:cs="Times New Roman"/>
          <w:lang w:val="pl-PL"/>
        </w:rPr>
      </w:pPr>
      <w:r w:rsidRPr="00AB5E44">
        <w:rPr>
          <w:rFonts w:ascii="Times New Roman" w:hAnsi="Times New Roman" w:cs="Times New Roman"/>
          <w:lang w:val="pl-PL"/>
        </w:rPr>
        <w:t>Nieprzekazanie wymaganych dokumentów</w:t>
      </w:r>
    </w:p>
    <w:p w14:paraId="30DC0241" w14:textId="77777777" w:rsidR="00AB5E44" w:rsidRPr="00AB5E44" w:rsidRDefault="00AB5E44" w:rsidP="00AB5E44">
      <w:pPr>
        <w:numPr>
          <w:ilvl w:val="0"/>
          <w:numId w:val="12"/>
        </w:numPr>
        <w:spacing w:line="276" w:lineRule="auto"/>
        <w:jc w:val="both"/>
        <w:rPr>
          <w:rFonts w:ascii="Times New Roman" w:hAnsi="Times New Roman" w:cs="Times New Roman"/>
          <w:lang w:val="pl-PL"/>
        </w:rPr>
      </w:pPr>
      <w:r w:rsidRPr="00AB5E44">
        <w:rPr>
          <w:rFonts w:ascii="Times New Roman" w:hAnsi="Times New Roman" w:cs="Times New Roman"/>
          <w:lang w:val="pl-PL"/>
        </w:rPr>
        <w:t>Nieobecność członka Personelu</w:t>
      </w:r>
    </w:p>
    <w:p w14:paraId="034F328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nie zawiera postanowień wykluczających nakładanie wielu kar za to samo naruszenie lub za naruszenia wynikające z tej samej przyczyny, co może prowadzić do nieproporcjonalnego obciążenia Wykonawcy.</w:t>
      </w:r>
    </w:p>
    <w:p w14:paraId="1052E62A"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c) </w:t>
      </w:r>
      <w:r w:rsidRPr="00AB5E44">
        <w:rPr>
          <w:rFonts w:ascii="Times New Roman" w:hAnsi="Times New Roman" w:cs="Times New Roman"/>
          <w:b/>
          <w:bCs/>
          <w:lang w:val="pl-PL"/>
        </w:rPr>
        <w:t>Automatyczny charakter kar umownych, niezależny od faktycznie poniesionej szkody (K3)</w:t>
      </w:r>
      <w:r w:rsidRPr="00AB5E44">
        <w:rPr>
          <w:rFonts w:ascii="Times New Roman" w:hAnsi="Times New Roman" w:cs="Times New Roman"/>
          <w:lang w:val="pl-PL"/>
        </w:rPr>
        <w:t>:</w:t>
      </w:r>
    </w:p>
    <w:p w14:paraId="5754850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zakłada, że kary umowne będą miały automatyczny charakter, bez względu na wysokość realnie poniesionej szkody przez Zamawiającego, co narusza zasadę proporcjonalności wyrażoną w art. 436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60814E3A"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Automatyczny charakter kar, bez odniesienia do rzeczywistej szkody poniesionej przez Zamawiającego, jest sprzeczny z funkcją kompensacyjną kar umownych i może prowadzić do nieuzasadnionego wzbogacenia Zamawiającego.</w:t>
      </w:r>
    </w:p>
    <w:p w14:paraId="5BA2EB06"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nie przewiduje możliwości miarkowania kar umownych w przypadku, gdy są one rażąco wygórowane w stosunku do poniesionej szkody, co jest sprzeczne z art. 484 § 2 Kodeksu cywilnego i zasadą proporcjonalności.</w:t>
      </w:r>
    </w:p>
    <w:p w14:paraId="141F2AD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 xml:space="preserve">d) </w:t>
      </w:r>
      <w:r w:rsidRPr="00AB5E44">
        <w:rPr>
          <w:rFonts w:ascii="Times New Roman" w:hAnsi="Times New Roman" w:cs="Times New Roman"/>
          <w:b/>
          <w:bCs/>
          <w:lang w:val="pl-PL"/>
        </w:rPr>
        <w:t>Ogólny limit kar w umowie wynoszący 25% całkowitego wynagrodzenia maksymalnego (K7)</w:t>
      </w:r>
      <w:r w:rsidRPr="00AB5E44">
        <w:rPr>
          <w:rFonts w:ascii="Times New Roman" w:hAnsi="Times New Roman" w:cs="Times New Roman"/>
          <w:lang w:val="pl-PL"/>
        </w:rPr>
        <w:t>:</w:t>
      </w:r>
    </w:p>
    <w:p w14:paraId="0ABC000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Ustalony w umowie ogólny limit kar na poziomie 25% całkowitego wynagrodzenia maksymalnego jest nieproporcjonalnie wysoki w stosunku do planowanej rentowności projektu i stanowi naruszenie art. 436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695AF386"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Średnia rentowność w branży usług inżynieryjnych i doradczych kształtuje się na poziomie około 5-10%. Limit kar umownych na poziomie 25% wynagrodzenia oznacza, że nawet częściowa realizacja kar może prowadzić do wykonywania umowy ze stratą.</w:t>
      </w:r>
    </w:p>
    <w:p w14:paraId="613D3EB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Umowa ustanawia jedynie ogólny limit wszystkich kar, bez wprowadzenia </w:t>
      </w:r>
      <w:proofErr w:type="spellStart"/>
      <w:r w:rsidRPr="00AB5E44">
        <w:rPr>
          <w:rFonts w:ascii="Times New Roman" w:hAnsi="Times New Roman" w:cs="Times New Roman"/>
          <w:lang w:val="pl-PL"/>
        </w:rPr>
        <w:t>sublimitów</w:t>
      </w:r>
      <w:proofErr w:type="spellEnd"/>
      <w:r w:rsidRPr="00AB5E44">
        <w:rPr>
          <w:rFonts w:ascii="Times New Roman" w:hAnsi="Times New Roman" w:cs="Times New Roman"/>
          <w:lang w:val="pl-PL"/>
        </w:rPr>
        <w:t xml:space="preserve"> dla poszczególnych kategorii naruszeń, co może prowadzić do nieproporcjonalnego obciążenia Wykonawcy karami za drobne, powtarzające się naruszenia.</w:t>
      </w:r>
    </w:p>
    <w:p w14:paraId="059C9116"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e) </w:t>
      </w:r>
      <w:r w:rsidRPr="00AB5E44">
        <w:rPr>
          <w:rFonts w:ascii="Times New Roman" w:hAnsi="Times New Roman" w:cs="Times New Roman"/>
          <w:b/>
          <w:bCs/>
          <w:lang w:val="pl-PL"/>
        </w:rPr>
        <w:t>Kary za brak zapłaty Podwykonawcom i Jednostronność kar (K1)</w:t>
      </w:r>
      <w:r w:rsidRPr="00AB5E44">
        <w:rPr>
          <w:rFonts w:ascii="Times New Roman" w:hAnsi="Times New Roman" w:cs="Times New Roman"/>
          <w:lang w:val="pl-PL"/>
        </w:rPr>
        <w:t>:</w:t>
      </w:r>
    </w:p>
    <w:p w14:paraId="6276A3D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Umowa przewiduje znaczące kary za naruszenia dotyczące rozliczeń z Podwykonawcami (1 000 PLN za dzień zwłoki), przy jednoczesnym braku analogicznych kar dla Zamawiającego za opóźnienia w płatnościach wobec Wykonawcy.</w:t>
      </w:r>
    </w:p>
    <w:p w14:paraId="7C78B822"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Wykonawca podlega karom umownym za opóźnienia w płatnościach wobec Podwykonawców, podczas gdy Zamawiający za analogiczne opóźnienia wobec Wykonawcy ponosi jedynie odpowiedzialność w postaci odsetek ustawowych.</w:t>
      </w:r>
    </w:p>
    <w:p w14:paraId="3E3CFDAB"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Kara w wysokości 1 000 PLN za dzień zwłoki może być nieproporcjonalna w przypadku drobnych płatności, gdyż jej wysokość nie jest powiązana z wartością opóźnionej płatności.</w:t>
      </w:r>
    </w:p>
    <w:p w14:paraId="44DC52C7"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Brak wzajemności w karach umownych za analogiczne naruszenia narusza zasadę równości stron umowy i jest sprzeczny z zasadą proporcjonalności wyrażoną w art. 436 pkt 3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536064F9"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III. Wpływ zidentyfikowanych naruszeń na przygotowanie oferty</w:t>
      </w:r>
    </w:p>
    <w:p w14:paraId="340E85A4"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Zidentyfikowane naruszenia przepisów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mają istotny wpływ na możliwość przygotowania oferty przez Odwołującego. Nieproporcjonalne rozłożenie ryzyk kontraktowych oraz nadmierne obciążenie Wykonawcy odpowiedzialnością za okoliczności pozostające poza jego kontrolą zmusza Odwołującego do uwzględnienia w cenie oferty znaczącej premii za ryzyko.</w:t>
      </w:r>
    </w:p>
    <w:p w14:paraId="2C29AE9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Szczegółowa analiza ekonomiczna przeprowadzona przez Odwołującego wykazała, że:</w:t>
      </w:r>
    </w:p>
    <w:p w14:paraId="561C5BD4" w14:textId="77777777" w:rsidR="00AB5E44" w:rsidRPr="00AB5E44" w:rsidRDefault="00AB5E44" w:rsidP="00AB5E44">
      <w:pPr>
        <w:numPr>
          <w:ilvl w:val="0"/>
          <w:numId w:val="13"/>
        </w:numPr>
        <w:spacing w:line="276" w:lineRule="auto"/>
        <w:jc w:val="both"/>
        <w:rPr>
          <w:rFonts w:ascii="Times New Roman" w:hAnsi="Times New Roman" w:cs="Times New Roman"/>
          <w:lang w:val="pl-PL"/>
        </w:rPr>
      </w:pPr>
      <w:r w:rsidRPr="00AB5E44">
        <w:rPr>
          <w:rFonts w:ascii="Times New Roman" w:hAnsi="Times New Roman" w:cs="Times New Roman"/>
          <w:lang w:val="pl-PL"/>
        </w:rPr>
        <w:t>Ograniczony mechanizm waloryzacji (limit 15%) przy potencjalnie długim okresie realizacji wymaga uwzględnienia w cenie oferty dodatkowego bufora na pokrycie ryzyka inflacyjnego w wysokości ok. 7-10% całkowitej wartości oferty.</w:t>
      </w:r>
    </w:p>
    <w:p w14:paraId="18FBC6F5" w14:textId="77777777" w:rsidR="00AB5E44" w:rsidRPr="00AB5E44" w:rsidRDefault="00AB5E44" w:rsidP="00AB5E44">
      <w:pPr>
        <w:numPr>
          <w:ilvl w:val="0"/>
          <w:numId w:val="13"/>
        </w:numPr>
        <w:spacing w:line="276" w:lineRule="auto"/>
        <w:jc w:val="both"/>
        <w:rPr>
          <w:rFonts w:ascii="Times New Roman" w:hAnsi="Times New Roman" w:cs="Times New Roman"/>
          <w:lang w:val="pl-PL"/>
        </w:rPr>
      </w:pPr>
      <w:r w:rsidRPr="00AB5E44">
        <w:rPr>
          <w:rFonts w:ascii="Times New Roman" w:hAnsi="Times New Roman" w:cs="Times New Roman"/>
          <w:lang w:val="pl-PL"/>
        </w:rPr>
        <w:t>Wysokie i kumulujące się kary umowne, przy limicie sięgającym 25% wynagrodzenia, wymagają zawiązania dodatkowych rezerw finansowych w wysokości ok. 5-8% wartości oferty.</w:t>
      </w:r>
    </w:p>
    <w:p w14:paraId="0E0C70E9" w14:textId="77777777" w:rsidR="00AB5E44" w:rsidRPr="00AB5E44" w:rsidRDefault="00AB5E44" w:rsidP="00AB5E44">
      <w:pPr>
        <w:numPr>
          <w:ilvl w:val="0"/>
          <w:numId w:val="13"/>
        </w:num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Brak możliwości przedłużenia terminów realizacji w przypadku opóźnień niezawinionych przez Wykonawcę generuje dodatkowe ryzyko biznesowe, które musiałoby zostać uwzględnione w cenie oferty w wysokości ok. 4-6% jej wartości.</w:t>
      </w:r>
    </w:p>
    <w:p w14:paraId="0E544E33" w14:textId="77777777" w:rsidR="00AB5E44" w:rsidRPr="00AB5E44" w:rsidRDefault="00AB5E44" w:rsidP="00AB5E44">
      <w:pPr>
        <w:numPr>
          <w:ilvl w:val="0"/>
          <w:numId w:val="13"/>
        </w:numPr>
        <w:spacing w:line="276" w:lineRule="auto"/>
        <w:jc w:val="both"/>
        <w:rPr>
          <w:rFonts w:ascii="Times New Roman" w:hAnsi="Times New Roman" w:cs="Times New Roman"/>
          <w:lang w:val="pl-PL"/>
        </w:rPr>
      </w:pPr>
      <w:r w:rsidRPr="00AB5E44">
        <w:rPr>
          <w:rFonts w:ascii="Times New Roman" w:hAnsi="Times New Roman" w:cs="Times New Roman"/>
          <w:lang w:val="pl-PL"/>
        </w:rPr>
        <w:t>Nieprecyzyjne określenie "uchybień mniejszej wagi" uprawniających do zatrzymania 20% wynagrodzenia stwarza ryzyko płynnościowe wymagające zabezpieczenia dodatkowego kapitału obrotowego, co przekłada się na dodatkowy koszt w wysokości ok. 2-3% wartości oferty.</w:t>
      </w:r>
    </w:p>
    <w:p w14:paraId="5348ACC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W efekcie, łączna premia za ryzyko wynikająca z kwestionowanych postanowień umownych wynosi ok. 18-27% wartości oferty, co radykalnie obniża konkurencyjność oferty Odwołującego i uniemożliwia mu skuteczne ubieganie się o zamówienie.</w:t>
      </w:r>
    </w:p>
    <w:p w14:paraId="261A301B"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IV. Argumenty ekonomiczne</w:t>
      </w:r>
    </w:p>
    <w:p w14:paraId="55B44A68"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Kwestionowane postanowienia umowne są nie tylko sprzeczne z przepisami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ale również nieefektywne ekonomicznie z punktu widzenia interesu publicznego:</w:t>
      </w:r>
    </w:p>
    <w:p w14:paraId="00976661" w14:textId="77777777" w:rsidR="00AB5E44" w:rsidRPr="00AB5E44" w:rsidRDefault="00AB5E44" w:rsidP="00AB5E44">
      <w:pPr>
        <w:numPr>
          <w:ilvl w:val="0"/>
          <w:numId w:val="14"/>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Wzrost cen ofertowych</w:t>
      </w:r>
      <w:r w:rsidRPr="00AB5E44">
        <w:rPr>
          <w:rFonts w:ascii="Times New Roman" w:hAnsi="Times New Roman" w:cs="Times New Roman"/>
          <w:lang w:val="pl-PL"/>
        </w:rPr>
        <w:t>: Nadmierne ryzyko powoduje wzrost cen ofertowych o premię za ryzyko, co jest sprzeczne z zasadą efektywnego wydatkowania środków publicznych. Jak wykazano w analizie ekonomicznej, kwestionowane postanowienia umowne mogą prowadzić do zawyżenia cen ofertowych o 18-27%.</w:t>
      </w:r>
    </w:p>
    <w:p w14:paraId="4B3F4E9C" w14:textId="77777777" w:rsidR="00AB5E44" w:rsidRPr="00AB5E44" w:rsidRDefault="00AB5E44" w:rsidP="00AB5E44">
      <w:pPr>
        <w:numPr>
          <w:ilvl w:val="0"/>
          <w:numId w:val="14"/>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Ograniczenie konkurencji</w:t>
      </w:r>
      <w:r w:rsidRPr="00AB5E44">
        <w:rPr>
          <w:rFonts w:ascii="Times New Roman" w:hAnsi="Times New Roman" w:cs="Times New Roman"/>
          <w:lang w:val="pl-PL"/>
        </w:rPr>
        <w:t>: Nieproporcjonalne i nadmierne ryzyko kontraktowe może zniechęcać potencjalnych wykonawców do udziału w postępowaniu, ograniczając konkurencję i pozbawiając Zamawiającego możliwości wyboru najkorzystniejszej oferty.</w:t>
      </w:r>
    </w:p>
    <w:p w14:paraId="56B7996D" w14:textId="77777777" w:rsidR="00AB5E44" w:rsidRPr="00AB5E44" w:rsidRDefault="00AB5E44" w:rsidP="00AB5E44">
      <w:pPr>
        <w:numPr>
          <w:ilvl w:val="0"/>
          <w:numId w:val="14"/>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Zagrożenie realizacji projektu</w:t>
      </w:r>
      <w:r w:rsidRPr="00AB5E44">
        <w:rPr>
          <w:rFonts w:ascii="Times New Roman" w:hAnsi="Times New Roman" w:cs="Times New Roman"/>
          <w:lang w:val="pl-PL"/>
        </w:rPr>
        <w:t>: Skumulowanie kar umownych przy rentowności branży na poziomie 5% stwarza ryzyko niewypłacalności Wykonawcy w trakcie realizacji, co może prowadzić do opóźnień, konieczności przeprowadzenia nowego postępowania i w konsekwencji – wzrostu kosztów całego projektu.</w:t>
      </w:r>
    </w:p>
    <w:p w14:paraId="5C85DF56" w14:textId="77777777" w:rsidR="00AB5E44" w:rsidRPr="00AB5E44" w:rsidRDefault="00AB5E44" w:rsidP="00AB5E44">
      <w:pPr>
        <w:numPr>
          <w:ilvl w:val="0"/>
          <w:numId w:val="14"/>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Nieadekwatność mechanizmów waloryzacyjnych</w:t>
      </w:r>
      <w:r w:rsidRPr="00AB5E44">
        <w:rPr>
          <w:rFonts w:ascii="Times New Roman" w:hAnsi="Times New Roman" w:cs="Times New Roman"/>
          <w:lang w:val="pl-PL"/>
        </w:rPr>
        <w:t>: Brak adekwatnych mechanizmów waloryzacyjnych w okresie podwyższonej inflacji naraża Wykonawcę na nieproporcjonalne ryzyko finansowe, co może prowadzić do obniżenia jakości świadczonych usług lub nawet do odstąpienia od umowy, jeśli jej realizacja stanie się ekonomicznie nieopłacalna.</w:t>
      </w:r>
    </w:p>
    <w:p w14:paraId="16D5BFEF"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V. Argumenty prawne</w:t>
      </w:r>
    </w:p>
    <w:p w14:paraId="2130F790"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Kwestionowane postanowienia umowne są sprzeczne z orzecznictwem KIO oraz przepisami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w:t>
      </w:r>
    </w:p>
    <w:p w14:paraId="6E960A94" w14:textId="77777777" w:rsidR="00AB5E44" w:rsidRPr="00AB5E44" w:rsidRDefault="00AB5E44" w:rsidP="00AB5E44">
      <w:pPr>
        <w:numPr>
          <w:ilvl w:val="0"/>
          <w:numId w:val="15"/>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Zasada proporcjonalności</w:t>
      </w:r>
      <w:r w:rsidRPr="00AB5E44">
        <w:rPr>
          <w:rFonts w:ascii="Times New Roman" w:hAnsi="Times New Roman" w:cs="Times New Roman"/>
          <w:lang w:val="pl-PL"/>
        </w:rPr>
        <w:t xml:space="preserve">: W wyroku KIO z dnia 27.11.2020 r., sygn. akt KIO 2897/20, Izba wskazała, że zasada proporcjonalności wymaga, aby rozkład praw i obowiązków stron </w:t>
      </w:r>
      <w:r w:rsidRPr="00AB5E44">
        <w:rPr>
          <w:rFonts w:ascii="Times New Roman" w:hAnsi="Times New Roman" w:cs="Times New Roman"/>
          <w:lang w:val="pl-PL"/>
        </w:rPr>
        <w:lastRenderedPageBreak/>
        <w:t>umowy był zrównoważony i uwzględniał uzasadnione interesy obu stron. Kwestionowane postanowienia umowne rażąco naruszają tę zasadę.</w:t>
      </w:r>
    </w:p>
    <w:p w14:paraId="0D20C39C" w14:textId="77777777" w:rsidR="00AB5E44" w:rsidRPr="00AB5E44" w:rsidRDefault="00AB5E44" w:rsidP="00AB5E44">
      <w:pPr>
        <w:numPr>
          <w:ilvl w:val="0"/>
          <w:numId w:val="15"/>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Automatyczny charakter kar umownych</w:t>
      </w:r>
      <w:r w:rsidRPr="00AB5E44">
        <w:rPr>
          <w:rFonts w:ascii="Times New Roman" w:hAnsi="Times New Roman" w:cs="Times New Roman"/>
          <w:lang w:val="pl-PL"/>
        </w:rPr>
        <w:t>: W wyroku KIO z dnia 27.08.2020 r., sygn. akt KIO 1700/20, Izba podkreśliła, że kary umowne nie mogą być naliczane za okoliczności, za które Wykonawca nie ponosi winy. Automatyczny charakter kar przewidziany w umowie narusza tę zasadę.</w:t>
      </w:r>
    </w:p>
    <w:p w14:paraId="3CFCE441" w14:textId="77777777" w:rsidR="00AB5E44" w:rsidRPr="00AB5E44" w:rsidRDefault="00AB5E44" w:rsidP="00AB5E44">
      <w:pPr>
        <w:numPr>
          <w:ilvl w:val="0"/>
          <w:numId w:val="15"/>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Odpowiedzialność za opóźnienia niezawinione</w:t>
      </w:r>
      <w:r w:rsidRPr="00AB5E44">
        <w:rPr>
          <w:rFonts w:ascii="Times New Roman" w:hAnsi="Times New Roman" w:cs="Times New Roman"/>
          <w:lang w:val="pl-PL"/>
        </w:rPr>
        <w:t>: W wyroku KIO z dnia 12.05.2021 r., sygn. akt KIO 940/21, Izba wskazała, że Zamawiający nie może obciążać Wykonawcy odpowiedzialnością za zdarzenia, na które ten nie ma wpływu. Brak mechanizmu przedłużenia terminów realizacji w przypadku opóźnień niezawinionych przez Wykonawcę jest sprzeczny z tym orzecznictwem.</w:t>
      </w:r>
    </w:p>
    <w:p w14:paraId="4CCD6E60" w14:textId="77777777" w:rsidR="00AB5E44" w:rsidRPr="00AB5E44" w:rsidRDefault="00AB5E44" w:rsidP="00AB5E44">
      <w:pPr>
        <w:numPr>
          <w:ilvl w:val="0"/>
          <w:numId w:val="15"/>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Proporcjonalność kar umownych</w:t>
      </w:r>
      <w:r w:rsidRPr="00AB5E44">
        <w:rPr>
          <w:rFonts w:ascii="Times New Roman" w:hAnsi="Times New Roman" w:cs="Times New Roman"/>
          <w:lang w:val="pl-PL"/>
        </w:rPr>
        <w:t>: W wyroku KIO z dnia 17.05.2022 r., sygn. akt KIO 1134/22, Izba wskazała, że kary umowne powinny pozostawać w rozsądnej proporcji do szkody, jaką może ponieść Zamawiający w przypadku niewykonania lub nienależytego wykonania umowy. Wysokie kary umowne, możliwość ich kumulacji oraz limit na poziomie 25% wynagrodzenia naruszają tę zasadę.</w:t>
      </w:r>
    </w:p>
    <w:p w14:paraId="00102DC6" w14:textId="77777777" w:rsidR="00AB5E44" w:rsidRPr="00AB5E44" w:rsidRDefault="00AB5E44" w:rsidP="00AB5E44">
      <w:pPr>
        <w:numPr>
          <w:ilvl w:val="0"/>
          <w:numId w:val="15"/>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Adekwatność mechanizmów waloryzacyjnych</w:t>
      </w:r>
      <w:r w:rsidRPr="00AB5E44">
        <w:rPr>
          <w:rFonts w:ascii="Times New Roman" w:hAnsi="Times New Roman" w:cs="Times New Roman"/>
          <w:lang w:val="pl-PL"/>
        </w:rPr>
        <w:t>: W wyroku KIO z dnia 08.08.2022 r., sygn. akt KIO 1834/22, Izba wskazała, że klauzule waloryzacyjne powinny skutecznie chronić wykonawcę przed nieprzewidywalnymi zmianami kosztów. Ograniczenie waloryzacji do 15% przy potencjalnie długim okresie realizacji jest sprzeczne z tym orzecznictwem.</w:t>
      </w:r>
    </w:p>
    <w:p w14:paraId="07B8B0B1"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VI. Propozycje konkretnych zmian</w:t>
      </w:r>
    </w:p>
    <w:p w14:paraId="535F2CC6"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W celu przywrócenia zgodności projektu umowy z przepisami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oraz zasadą proporcjonalności, Odwołujący proponuje następujące zmiany:</w:t>
      </w:r>
    </w:p>
    <w:p w14:paraId="05459174" w14:textId="77777777" w:rsidR="00AB5E44" w:rsidRPr="00AB5E44" w:rsidRDefault="00AB5E44" w:rsidP="00AB5E44">
      <w:pPr>
        <w:numPr>
          <w:ilvl w:val="0"/>
          <w:numId w:val="16"/>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W zakresie kar umownych</w:t>
      </w:r>
      <w:r w:rsidRPr="00AB5E44">
        <w:rPr>
          <w:rFonts w:ascii="Times New Roman" w:hAnsi="Times New Roman" w:cs="Times New Roman"/>
          <w:lang w:val="pl-PL"/>
        </w:rPr>
        <w:t xml:space="preserve">: </w:t>
      </w:r>
    </w:p>
    <w:p w14:paraId="58E9B128"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analogicznych kar umownych dla Zamawiającego za naruszenie jego zobowiązań</w:t>
      </w:r>
    </w:p>
    <w:p w14:paraId="183E3735"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Zmniejszenie ogólnego limitu kar umownych z 25% do 15% wynagrodzenia</w:t>
      </w:r>
    </w:p>
    <w:p w14:paraId="25D8A068"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Wprowadzenie </w:t>
      </w:r>
      <w:proofErr w:type="spellStart"/>
      <w:r w:rsidRPr="00AB5E44">
        <w:rPr>
          <w:rFonts w:ascii="Times New Roman" w:hAnsi="Times New Roman" w:cs="Times New Roman"/>
          <w:lang w:val="pl-PL"/>
        </w:rPr>
        <w:t>sublimitów</w:t>
      </w:r>
      <w:proofErr w:type="spellEnd"/>
      <w:r w:rsidRPr="00AB5E44">
        <w:rPr>
          <w:rFonts w:ascii="Times New Roman" w:hAnsi="Times New Roman" w:cs="Times New Roman"/>
          <w:lang w:val="pl-PL"/>
        </w:rPr>
        <w:t xml:space="preserve"> dla poszczególnych kategorii kar</w:t>
      </w:r>
    </w:p>
    <w:p w14:paraId="028E7972"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Uzależnienie naliczenia kar od wykazania winy Wykonawcy</w:t>
      </w:r>
    </w:p>
    <w:p w14:paraId="2ED5BEB7"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Doprecyzowanie, że kary umowne nie mogą być naliczane za to samo naruszenie z różnych tytułów</w:t>
      </w:r>
    </w:p>
    <w:p w14:paraId="59024414" w14:textId="77777777" w:rsidR="00AB5E44" w:rsidRPr="00AB5E44" w:rsidRDefault="00AB5E44" w:rsidP="00AB5E44">
      <w:pPr>
        <w:numPr>
          <w:ilvl w:val="0"/>
          <w:numId w:val="16"/>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W zakresie waloryzacji</w:t>
      </w:r>
      <w:r w:rsidRPr="00AB5E44">
        <w:rPr>
          <w:rFonts w:ascii="Times New Roman" w:hAnsi="Times New Roman" w:cs="Times New Roman"/>
          <w:lang w:val="pl-PL"/>
        </w:rPr>
        <w:t xml:space="preserve">: </w:t>
      </w:r>
    </w:p>
    <w:p w14:paraId="46FA9CB1"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Zwiększenie limitu waloryzacji z 15% do co najmniej 25% lub wprowadzenie mechanizmu renegocjacji umowy w przypadku przekroczenia limitu 15%</w:t>
      </w:r>
    </w:p>
    <w:p w14:paraId="1759FB95"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Objęcie waloryzacją wszystkich elementów wynagrodzenia podatnych na zmiany cen rynkowych</w:t>
      </w:r>
    </w:p>
    <w:p w14:paraId="72154F54"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Precyzyjne określenie daty bazowej dla obliczania waloryzacji</w:t>
      </w:r>
    </w:p>
    <w:p w14:paraId="36913F4E"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dodatkowego mechanizmu waloryzacji w przypadku nagłych, nieprzewidywalnych zmian kosztów</w:t>
      </w:r>
    </w:p>
    <w:p w14:paraId="7D365B7D"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Uproszczenie procedury inicjowania waloryzacji</w:t>
      </w:r>
    </w:p>
    <w:p w14:paraId="2960C78B" w14:textId="77777777" w:rsidR="00AB5E44" w:rsidRPr="00AB5E44" w:rsidRDefault="00AB5E44" w:rsidP="00AB5E44">
      <w:pPr>
        <w:numPr>
          <w:ilvl w:val="0"/>
          <w:numId w:val="16"/>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W zakresie terminów realizacji</w:t>
      </w:r>
      <w:r w:rsidRPr="00AB5E44">
        <w:rPr>
          <w:rFonts w:ascii="Times New Roman" w:hAnsi="Times New Roman" w:cs="Times New Roman"/>
          <w:lang w:val="pl-PL"/>
        </w:rPr>
        <w:t xml:space="preserve">: </w:t>
      </w:r>
    </w:p>
    <w:p w14:paraId="00D3E02A"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mechanizmu przedłużenia terminów realizacji w przypadku opóźnień niezawinionych przez Wykonawcę</w:t>
      </w:r>
    </w:p>
    <w:p w14:paraId="5B4B555E"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mechanizmu rekompensaty kosztów przestoju w przypadku opóźnień wynikających z przyczyn leżących po stronie Zamawiającego</w:t>
      </w:r>
    </w:p>
    <w:p w14:paraId="7416D422"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Doprecyzowanie procedury zgłaszania i zatwierdzania zmian w harmonogramie</w:t>
      </w:r>
    </w:p>
    <w:p w14:paraId="2AD5119E" w14:textId="77777777" w:rsidR="00AB5E44" w:rsidRPr="00AB5E44" w:rsidRDefault="00AB5E44" w:rsidP="00AB5E44">
      <w:pPr>
        <w:numPr>
          <w:ilvl w:val="0"/>
          <w:numId w:val="16"/>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W zakresie odbiorów i płatności</w:t>
      </w:r>
      <w:r w:rsidRPr="00AB5E44">
        <w:rPr>
          <w:rFonts w:ascii="Times New Roman" w:hAnsi="Times New Roman" w:cs="Times New Roman"/>
          <w:lang w:val="pl-PL"/>
        </w:rPr>
        <w:t xml:space="preserve">: </w:t>
      </w:r>
    </w:p>
    <w:p w14:paraId="4B119837"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Doprecyzowanie kryteriów "uchybień mniejszej wagi" i ograniczenie kwoty zatrzymanej do maksymalnie 5% wartości danego etapu</w:t>
      </w:r>
    </w:p>
    <w:p w14:paraId="7D094A32"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terminów na weryfikację i zatwierdzenie dokumentów przez Zamawiającego</w:t>
      </w:r>
    </w:p>
    <w:p w14:paraId="687066A9"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kar umownych dla Zamawiającego za opóźnienia w odbiorach i płatnościach</w:t>
      </w:r>
    </w:p>
    <w:p w14:paraId="3B1F3D08" w14:textId="77777777" w:rsidR="00AB5E44" w:rsidRPr="00AB5E44" w:rsidRDefault="00AB5E44" w:rsidP="00AB5E44">
      <w:pPr>
        <w:numPr>
          <w:ilvl w:val="0"/>
          <w:numId w:val="16"/>
        </w:numPr>
        <w:spacing w:line="276" w:lineRule="auto"/>
        <w:jc w:val="both"/>
        <w:rPr>
          <w:rFonts w:ascii="Times New Roman" w:hAnsi="Times New Roman" w:cs="Times New Roman"/>
          <w:lang w:val="pl-PL"/>
        </w:rPr>
      </w:pPr>
      <w:r w:rsidRPr="00AB5E44">
        <w:rPr>
          <w:rFonts w:ascii="Times New Roman" w:hAnsi="Times New Roman" w:cs="Times New Roman"/>
          <w:b/>
          <w:bCs/>
          <w:lang w:val="pl-PL"/>
        </w:rPr>
        <w:t>W zakresie rozwiązywania sporów</w:t>
      </w:r>
      <w:r w:rsidRPr="00AB5E44">
        <w:rPr>
          <w:rFonts w:ascii="Times New Roman" w:hAnsi="Times New Roman" w:cs="Times New Roman"/>
          <w:lang w:val="pl-PL"/>
        </w:rPr>
        <w:t xml:space="preserve">: </w:t>
      </w:r>
    </w:p>
    <w:p w14:paraId="38753B5E"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Wprowadzenie wieloetapowej procedury rozwiązywania sporów przed skierowaniem sprawy do sądu (negocjacje, mediacja, ekspertyza)</w:t>
      </w:r>
    </w:p>
    <w:p w14:paraId="0473485D" w14:textId="77777777" w:rsidR="00AB5E44" w:rsidRPr="00AB5E44" w:rsidRDefault="00AB5E44" w:rsidP="00AB5E44">
      <w:pPr>
        <w:numPr>
          <w:ilvl w:val="1"/>
          <w:numId w:val="16"/>
        </w:numPr>
        <w:spacing w:line="276" w:lineRule="auto"/>
        <w:jc w:val="both"/>
        <w:rPr>
          <w:rFonts w:ascii="Times New Roman" w:hAnsi="Times New Roman" w:cs="Times New Roman"/>
          <w:lang w:val="pl-PL"/>
        </w:rPr>
      </w:pPr>
      <w:r w:rsidRPr="00AB5E44">
        <w:rPr>
          <w:rFonts w:ascii="Times New Roman" w:hAnsi="Times New Roman" w:cs="Times New Roman"/>
          <w:lang w:val="pl-PL"/>
        </w:rPr>
        <w:t>Określenie zasad podziału kosztów postępowań związanych z rozstrzyganiem sporów</w:t>
      </w:r>
    </w:p>
    <w:p w14:paraId="55ABC8A3" w14:textId="77777777" w:rsidR="00AB5E44" w:rsidRPr="00AB5E44" w:rsidRDefault="00AB5E44" w:rsidP="00AB5E44">
      <w:pPr>
        <w:spacing w:line="276" w:lineRule="auto"/>
        <w:jc w:val="both"/>
        <w:rPr>
          <w:rFonts w:ascii="Times New Roman" w:hAnsi="Times New Roman" w:cs="Times New Roman"/>
          <w:b/>
          <w:bCs/>
          <w:lang w:val="pl-PL"/>
        </w:rPr>
      </w:pPr>
      <w:r w:rsidRPr="00AB5E44">
        <w:rPr>
          <w:rFonts w:ascii="Times New Roman" w:hAnsi="Times New Roman" w:cs="Times New Roman"/>
          <w:b/>
          <w:bCs/>
          <w:lang w:val="pl-PL"/>
        </w:rPr>
        <w:t>VII. Podsumowanie</w:t>
      </w:r>
    </w:p>
    <w:p w14:paraId="3A3CFF8A"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 xml:space="preserve">Kwestionowane postanowienia umowne naruszają przepisy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w szczególności art. 16, art. 433, art. 439 i art. 436 pkt 3, poprzez nieproporcjonalne ukształtowanie praw i obowiązków stron umowy oraz nadmierne obciążenie Wykonawcy ryzykiem kontraktowym. Naruszenia te mają istotny wpływ na możliwość przygotowania konkurencyjnej oferty przez Odwołującego i stanowią barierę w dostępie do zamówienia publicznego.</w:t>
      </w:r>
    </w:p>
    <w:p w14:paraId="5124214E"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lastRenderedPageBreak/>
        <w:t xml:space="preserve">Wprowadzenie proponowanych przez Odwołującego zmian jest niezbędne dla przywrócenia zgodności projektu umowy z przepisami </w:t>
      </w:r>
      <w:proofErr w:type="spellStart"/>
      <w:r w:rsidRPr="00AB5E44">
        <w:rPr>
          <w:rFonts w:ascii="Times New Roman" w:hAnsi="Times New Roman" w:cs="Times New Roman"/>
          <w:lang w:val="pl-PL"/>
        </w:rPr>
        <w:t>uPZP</w:t>
      </w:r>
      <w:proofErr w:type="spellEnd"/>
      <w:r w:rsidRPr="00AB5E44">
        <w:rPr>
          <w:rFonts w:ascii="Times New Roman" w:hAnsi="Times New Roman" w:cs="Times New Roman"/>
          <w:lang w:val="pl-PL"/>
        </w:rPr>
        <w:t xml:space="preserve"> oraz zasadą proporcjonalności, a także dla zapewnienia efektywnego wydatkowania środków publicznych poprzez umożliwienie złożenia konkurencyjnych ofert bez nadmiernej premii za ryzyko.</w:t>
      </w:r>
    </w:p>
    <w:p w14:paraId="721E94C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W związku z powyższym, wnoszę jak na wstępie.</w:t>
      </w:r>
    </w:p>
    <w:p w14:paraId="1A3FC37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pict w14:anchorId="22DA706C">
          <v:rect id="_x0000_i1065" style="width:0;height:1.5pt" o:hralign="center" o:hrstd="t" o:hr="t" fillcolor="#a0a0a0" stroked="f"/>
        </w:pict>
      </w:r>
    </w:p>
    <w:p w14:paraId="1B3B304F"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b/>
          <w:bCs/>
          <w:lang w:val="pl-PL"/>
        </w:rPr>
        <w:t>Załączniki</w:t>
      </w:r>
      <w:r w:rsidRPr="00AB5E44">
        <w:rPr>
          <w:rFonts w:ascii="Times New Roman" w:hAnsi="Times New Roman" w:cs="Times New Roman"/>
          <w:lang w:val="pl-PL"/>
        </w:rPr>
        <w:t>:</w:t>
      </w:r>
    </w:p>
    <w:p w14:paraId="48B90C62" w14:textId="77777777" w:rsidR="00AB5E44" w:rsidRPr="00AB5E44" w:rsidRDefault="00AB5E44" w:rsidP="00AB5E44">
      <w:pPr>
        <w:numPr>
          <w:ilvl w:val="0"/>
          <w:numId w:val="17"/>
        </w:numPr>
        <w:spacing w:line="276" w:lineRule="auto"/>
        <w:jc w:val="both"/>
        <w:rPr>
          <w:rFonts w:ascii="Times New Roman" w:hAnsi="Times New Roman" w:cs="Times New Roman"/>
          <w:lang w:val="pl-PL"/>
        </w:rPr>
      </w:pPr>
      <w:r w:rsidRPr="00AB5E44">
        <w:rPr>
          <w:rFonts w:ascii="Times New Roman" w:hAnsi="Times New Roman" w:cs="Times New Roman"/>
          <w:lang w:val="pl-PL"/>
        </w:rPr>
        <w:t>Dowód uiszczenia wpisu od odwołania</w:t>
      </w:r>
    </w:p>
    <w:p w14:paraId="7E1CE297" w14:textId="77777777" w:rsidR="00AB5E44" w:rsidRPr="00AB5E44" w:rsidRDefault="00AB5E44" w:rsidP="00AB5E44">
      <w:pPr>
        <w:numPr>
          <w:ilvl w:val="0"/>
          <w:numId w:val="17"/>
        </w:numPr>
        <w:spacing w:line="276" w:lineRule="auto"/>
        <w:jc w:val="both"/>
        <w:rPr>
          <w:rFonts w:ascii="Times New Roman" w:hAnsi="Times New Roman" w:cs="Times New Roman"/>
          <w:lang w:val="pl-PL"/>
        </w:rPr>
      </w:pPr>
      <w:r w:rsidRPr="00AB5E44">
        <w:rPr>
          <w:rFonts w:ascii="Times New Roman" w:hAnsi="Times New Roman" w:cs="Times New Roman"/>
          <w:lang w:val="pl-PL"/>
        </w:rPr>
        <w:t>Dowód przesłania kopii odwołania Zamawiającemu</w:t>
      </w:r>
    </w:p>
    <w:p w14:paraId="352DB6A3" w14:textId="77777777" w:rsidR="00AB5E44" w:rsidRPr="00AB5E44" w:rsidRDefault="00AB5E44" w:rsidP="00AB5E44">
      <w:pPr>
        <w:numPr>
          <w:ilvl w:val="0"/>
          <w:numId w:val="17"/>
        </w:numPr>
        <w:spacing w:line="276" w:lineRule="auto"/>
        <w:jc w:val="both"/>
        <w:rPr>
          <w:rFonts w:ascii="Times New Roman" w:hAnsi="Times New Roman" w:cs="Times New Roman"/>
          <w:lang w:val="pl-PL"/>
        </w:rPr>
      </w:pPr>
      <w:r w:rsidRPr="00AB5E44">
        <w:rPr>
          <w:rFonts w:ascii="Times New Roman" w:hAnsi="Times New Roman" w:cs="Times New Roman"/>
          <w:lang w:val="pl-PL"/>
        </w:rPr>
        <w:t>Odpis z KRS/CEIDG Odwołującego</w:t>
      </w:r>
    </w:p>
    <w:p w14:paraId="35C467C1" w14:textId="77777777" w:rsidR="00AB5E44" w:rsidRPr="00AB5E44" w:rsidRDefault="00AB5E44" w:rsidP="00AB5E44">
      <w:pPr>
        <w:numPr>
          <w:ilvl w:val="0"/>
          <w:numId w:val="17"/>
        </w:numPr>
        <w:spacing w:line="276" w:lineRule="auto"/>
        <w:jc w:val="both"/>
        <w:rPr>
          <w:rFonts w:ascii="Times New Roman" w:hAnsi="Times New Roman" w:cs="Times New Roman"/>
          <w:lang w:val="pl-PL"/>
        </w:rPr>
      </w:pPr>
      <w:r w:rsidRPr="00AB5E44">
        <w:rPr>
          <w:rFonts w:ascii="Times New Roman" w:hAnsi="Times New Roman" w:cs="Times New Roman"/>
          <w:lang w:val="pl-PL"/>
        </w:rPr>
        <w:t>Pełnomocnictwo</w:t>
      </w:r>
    </w:p>
    <w:p w14:paraId="4ACD171A" w14:textId="77777777" w:rsidR="00AB5E44" w:rsidRPr="00AB5E44" w:rsidRDefault="00AB5E44" w:rsidP="00AB5E44">
      <w:pPr>
        <w:numPr>
          <w:ilvl w:val="0"/>
          <w:numId w:val="17"/>
        </w:numPr>
        <w:spacing w:line="276" w:lineRule="auto"/>
        <w:jc w:val="both"/>
        <w:rPr>
          <w:rFonts w:ascii="Times New Roman" w:hAnsi="Times New Roman" w:cs="Times New Roman"/>
          <w:lang w:val="pl-PL"/>
        </w:rPr>
      </w:pPr>
      <w:r w:rsidRPr="00AB5E44">
        <w:rPr>
          <w:rFonts w:ascii="Times New Roman" w:hAnsi="Times New Roman" w:cs="Times New Roman"/>
          <w:lang w:val="pl-PL"/>
        </w:rPr>
        <w:t>Analiza ekonomiczna wpływu kwestionowanych postanowień umownych na cenę oferty</w:t>
      </w:r>
    </w:p>
    <w:p w14:paraId="38FC1EEE" w14:textId="77777777" w:rsidR="00AB5E44" w:rsidRPr="00AB5E44" w:rsidRDefault="00AB5E44" w:rsidP="00AB5E44">
      <w:pPr>
        <w:numPr>
          <w:ilvl w:val="0"/>
          <w:numId w:val="17"/>
        </w:numPr>
        <w:spacing w:line="276" w:lineRule="auto"/>
        <w:jc w:val="both"/>
        <w:rPr>
          <w:rFonts w:ascii="Times New Roman" w:hAnsi="Times New Roman" w:cs="Times New Roman"/>
          <w:lang w:val="pl-PL"/>
        </w:rPr>
      </w:pPr>
      <w:r w:rsidRPr="00AB5E44">
        <w:rPr>
          <w:rFonts w:ascii="Times New Roman" w:hAnsi="Times New Roman" w:cs="Times New Roman"/>
          <w:lang w:val="pl-PL"/>
        </w:rPr>
        <w:t>Analiza zidentyfikowanych ryzyk umowy</w:t>
      </w:r>
    </w:p>
    <w:p w14:paraId="3B3B6C2C"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pict w14:anchorId="3117A033">
          <v:rect id="_x0000_i1066" style="width:0;height:1.5pt" o:hralign="center" o:hrstd="t" o:hr="t" fillcolor="#a0a0a0" stroked="f"/>
        </w:pict>
      </w:r>
    </w:p>
    <w:p w14:paraId="71B1BA6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[Miejsce i data]</w:t>
      </w:r>
    </w:p>
    <w:p w14:paraId="4A493399" w14:textId="77777777" w:rsidR="00AB5E44" w:rsidRPr="00AB5E44" w:rsidRDefault="00AB5E44" w:rsidP="00AB5E44">
      <w:pPr>
        <w:spacing w:line="276" w:lineRule="auto"/>
        <w:jc w:val="both"/>
        <w:rPr>
          <w:rFonts w:ascii="Times New Roman" w:hAnsi="Times New Roman" w:cs="Times New Roman"/>
          <w:lang w:val="pl-PL"/>
        </w:rPr>
      </w:pPr>
      <w:r w:rsidRPr="00AB5E44">
        <w:rPr>
          <w:rFonts w:ascii="Times New Roman" w:hAnsi="Times New Roman" w:cs="Times New Roman"/>
          <w:lang w:val="pl-PL"/>
        </w:rPr>
        <w:t>[Podpis Odwołującego/Pełnomocnika]</w:t>
      </w:r>
    </w:p>
    <w:p w14:paraId="3D1F8B75" w14:textId="77777777" w:rsidR="00AB5E44" w:rsidRPr="00AB5E44" w:rsidRDefault="00AB5E44" w:rsidP="00AB5E44">
      <w:pPr>
        <w:spacing w:line="276" w:lineRule="auto"/>
        <w:jc w:val="both"/>
        <w:rPr>
          <w:rFonts w:ascii="Times New Roman" w:hAnsi="Times New Roman" w:cs="Times New Roman"/>
          <w:lang w:val="pl-PL"/>
        </w:rPr>
      </w:pPr>
    </w:p>
    <w:sectPr w:rsidR="00AB5E44" w:rsidRPr="00AB5E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158"/>
    <w:multiLevelType w:val="multilevel"/>
    <w:tmpl w:val="FCAE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16DA8"/>
    <w:multiLevelType w:val="multilevel"/>
    <w:tmpl w:val="0E36A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F0901"/>
    <w:multiLevelType w:val="multilevel"/>
    <w:tmpl w:val="14C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46A30"/>
    <w:multiLevelType w:val="multilevel"/>
    <w:tmpl w:val="00169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53408"/>
    <w:multiLevelType w:val="multilevel"/>
    <w:tmpl w:val="B07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F1A4F"/>
    <w:multiLevelType w:val="multilevel"/>
    <w:tmpl w:val="1D245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D14B5"/>
    <w:multiLevelType w:val="multilevel"/>
    <w:tmpl w:val="28C2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C5336"/>
    <w:multiLevelType w:val="multilevel"/>
    <w:tmpl w:val="052A6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CB16B0"/>
    <w:multiLevelType w:val="multilevel"/>
    <w:tmpl w:val="1008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C063E"/>
    <w:multiLevelType w:val="multilevel"/>
    <w:tmpl w:val="69FC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9565D"/>
    <w:multiLevelType w:val="multilevel"/>
    <w:tmpl w:val="C5D889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FB3C19"/>
    <w:multiLevelType w:val="multilevel"/>
    <w:tmpl w:val="91C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137E40"/>
    <w:multiLevelType w:val="multilevel"/>
    <w:tmpl w:val="736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86ED6"/>
    <w:multiLevelType w:val="multilevel"/>
    <w:tmpl w:val="95A8D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6C2B38"/>
    <w:multiLevelType w:val="multilevel"/>
    <w:tmpl w:val="5FF6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EF50CE"/>
    <w:multiLevelType w:val="multilevel"/>
    <w:tmpl w:val="7628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14C1F"/>
    <w:multiLevelType w:val="multilevel"/>
    <w:tmpl w:val="036EC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116414">
    <w:abstractNumId w:val="16"/>
  </w:num>
  <w:num w:numId="2" w16cid:durableId="1333292970">
    <w:abstractNumId w:val="3"/>
  </w:num>
  <w:num w:numId="3" w16cid:durableId="1585337856">
    <w:abstractNumId w:val="2"/>
  </w:num>
  <w:num w:numId="4" w16cid:durableId="1758555538">
    <w:abstractNumId w:val="14"/>
  </w:num>
  <w:num w:numId="5" w16cid:durableId="1088623346">
    <w:abstractNumId w:val="9"/>
  </w:num>
  <w:num w:numId="6" w16cid:durableId="1006522195">
    <w:abstractNumId w:val="0"/>
  </w:num>
  <w:num w:numId="7" w16cid:durableId="1522359203">
    <w:abstractNumId w:val="15"/>
  </w:num>
  <w:num w:numId="8" w16cid:durableId="2025355371">
    <w:abstractNumId w:val="8"/>
  </w:num>
  <w:num w:numId="9" w16cid:durableId="1592590780">
    <w:abstractNumId w:val="12"/>
  </w:num>
  <w:num w:numId="10" w16cid:durableId="1413114680">
    <w:abstractNumId w:val="6"/>
  </w:num>
  <w:num w:numId="11" w16cid:durableId="1473909189">
    <w:abstractNumId w:val="4"/>
  </w:num>
  <w:num w:numId="12" w16cid:durableId="145558892">
    <w:abstractNumId w:val="11"/>
  </w:num>
  <w:num w:numId="13" w16cid:durableId="1219130970">
    <w:abstractNumId w:val="1"/>
  </w:num>
  <w:num w:numId="14" w16cid:durableId="1894542210">
    <w:abstractNumId w:val="5"/>
  </w:num>
  <w:num w:numId="15" w16cid:durableId="1098141820">
    <w:abstractNumId w:val="7"/>
  </w:num>
  <w:num w:numId="16" w16cid:durableId="771632987">
    <w:abstractNumId w:val="10"/>
  </w:num>
  <w:num w:numId="17" w16cid:durableId="1512648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44"/>
    <w:rsid w:val="00363097"/>
    <w:rsid w:val="00373C2B"/>
    <w:rsid w:val="00AB5E44"/>
    <w:rsid w:val="00BA72AC"/>
    <w:rsid w:val="00E6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53A6"/>
  <w15:chartTrackingRefBased/>
  <w15:docId w15:val="{AE2577E3-62E6-423C-AB11-82FB5FF1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44"/>
    <w:rPr>
      <w:rFonts w:eastAsiaTheme="majorEastAsia" w:cstheme="majorBidi"/>
      <w:color w:val="272727" w:themeColor="text1" w:themeTint="D8"/>
    </w:rPr>
  </w:style>
  <w:style w:type="paragraph" w:styleId="Title">
    <w:name w:val="Title"/>
    <w:basedOn w:val="Normal"/>
    <w:next w:val="Normal"/>
    <w:link w:val="TitleChar"/>
    <w:uiPriority w:val="10"/>
    <w:qFormat/>
    <w:rsid w:val="00AB5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44"/>
    <w:pPr>
      <w:spacing w:before="160"/>
      <w:jc w:val="center"/>
    </w:pPr>
    <w:rPr>
      <w:i/>
      <w:iCs/>
      <w:color w:val="404040" w:themeColor="text1" w:themeTint="BF"/>
    </w:rPr>
  </w:style>
  <w:style w:type="character" w:customStyle="1" w:styleId="QuoteChar">
    <w:name w:val="Quote Char"/>
    <w:basedOn w:val="DefaultParagraphFont"/>
    <w:link w:val="Quote"/>
    <w:uiPriority w:val="29"/>
    <w:rsid w:val="00AB5E44"/>
    <w:rPr>
      <w:i/>
      <w:iCs/>
      <w:color w:val="404040" w:themeColor="text1" w:themeTint="BF"/>
    </w:rPr>
  </w:style>
  <w:style w:type="paragraph" w:styleId="ListParagraph">
    <w:name w:val="List Paragraph"/>
    <w:basedOn w:val="Normal"/>
    <w:uiPriority w:val="34"/>
    <w:qFormat/>
    <w:rsid w:val="00AB5E44"/>
    <w:pPr>
      <w:ind w:left="720"/>
      <w:contextualSpacing/>
    </w:pPr>
  </w:style>
  <w:style w:type="character" w:styleId="IntenseEmphasis">
    <w:name w:val="Intense Emphasis"/>
    <w:basedOn w:val="DefaultParagraphFont"/>
    <w:uiPriority w:val="21"/>
    <w:qFormat/>
    <w:rsid w:val="00AB5E44"/>
    <w:rPr>
      <w:i/>
      <w:iCs/>
      <w:color w:val="0F4761" w:themeColor="accent1" w:themeShade="BF"/>
    </w:rPr>
  </w:style>
  <w:style w:type="paragraph" w:styleId="IntenseQuote">
    <w:name w:val="Intense Quote"/>
    <w:basedOn w:val="Normal"/>
    <w:next w:val="Normal"/>
    <w:link w:val="IntenseQuoteChar"/>
    <w:uiPriority w:val="30"/>
    <w:qFormat/>
    <w:rsid w:val="00AB5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E44"/>
    <w:rPr>
      <w:i/>
      <w:iCs/>
      <w:color w:val="0F4761" w:themeColor="accent1" w:themeShade="BF"/>
    </w:rPr>
  </w:style>
  <w:style w:type="character" w:styleId="IntenseReference">
    <w:name w:val="Intense Reference"/>
    <w:basedOn w:val="DefaultParagraphFont"/>
    <w:uiPriority w:val="32"/>
    <w:qFormat/>
    <w:rsid w:val="00AB5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142713">
      <w:bodyDiv w:val="1"/>
      <w:marLeft w:val="0"/>
      <w:marRight w:val="0"/>
      <w:marTop w:val="0"/>
      <w:marBottom w:val="0"/>
      <w:divBdr>
        <w:top w:val="none" w:sz="0" w:space="0" w:color="auto"/>
        <w:left w:val="none" w:sz="0" w:space="0" w:color="auto"/>
        <w:bottom w:val="none" w:sz="0" w:space="0" w:color="auto"/>
        <w:right w:val="none" w:sz="0" w:space="0" w:color="auto"/>
      </w:divBdr>
    </w:div>
    <w:div w:id="188293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4263</Words>
  <Characters>24301</Characters>
  <Application>Microsoft Office Word</Application>
  <DocSecurity>0</DocSecurity>
  <Lines>202</Lines>
  <Paragraphs>57</Paragraphs>
  <ScaleCrop>false</ScaleCrop>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Rafal Baldys</dc:creator>
  <cp:keywords/>
  <dc:description/>
  <cp:lastModifiedBy>Rafal Baldys</cp:lastModifiedBy>
  <cp:revision>4</cp:revision>
  <dcterms:created xsi:type="dcterms:W3CDTF">2025-04-13T20:03:00Z</dcterms:created>
  <dcterms:modified xsi:type="dcterms:W3CDTF">2025-04-13T20:29:00Z</dcterms:modified>
</cp:coreProperties>
</file>